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867D6" w14:textId="72FD062F" w:rsidR="009F4590" w:rsidRPr="000E59A5" w:rsidRDefault="005A695B" w:rsidP="009F4590">
      <w:pPr>
        <w:jc w:val="center"/>
        <w:rPr>
          <w:rFonts w:ascii="Times New Roman" w:hAnsi="Times New Roman"/>
          <w:b/>
          <w:bCs/>
          <w:sz w:val="24"/>
          <w:szCs w:val="24"/>
        </w:rPr>
      </w:pPr>
      <w:r w:rsidRPr="000E59A5">
        <w:rPr>
          <w:rFonts w:ascii="Times New Roman" w:hAnsi="Times New Roman"/>
          <w:b/>
          <w:bCs/>
          <w:sz w:val="24"/>
          <w:szCs w:val="24"/>
        </w:rPr>
        <w:t>TITLE</w:t>
      </w:r>
    </w:p>
    <w:p w14:paraId="01E437B7" w14:textId="1C697341" w:rsidR="009F4590" w:rsidRPr="000E59A5" w:rsidRDefault="000E59A5" w:rsidP="009F4590">
      <w:pPr>
        <w:jc w:val="center"/>
        <w:rPr>
          <w:rFonts w:ascii="Times New Roman" w:hAnsi="Times New Roman"/>
          <w:sz w:val="24"/>
          <w:szCs w:val="24"/>
        </w:rPr>
      </w:pPr>
      <w:r>
        <w:rPr>
          <w:rFonts w:ascii="Times New Roman" w:hAnsi="Times New Roman"/>
          <w:sz w:val="24"/>
          <w:szCs w:val="24"/>
        </w:rPr>
        <w:t>Name, Surename</w:t>
      </w:r>
      <w:r w:rsidR="009F4590" w:rsidRPr="000E59A5">
        <w:rPr>
          <w:rFonts w:ascii="Times New Roman" w:hAnsi="Times New Roman"/>
          <w:sz w:val="24"/>
          <w:szCs w:val="24"/>
          <w:vertAlign w:val="superscript"/>
        </w:rPr>
        <w:t>1</w:t>
      </w:r>
      <w:r w:rsidR="009F4590" w:rsidRPr="000E59A5">
        <w:rPr>
          <w:rFonts w:ascii="Times New Roman" w:hAnsi="Times New Roman"/>
          <w:sz w:val="24"/>
          <w:szCs w:val="24"/>
        </w:rPr>
        <w:t xml:space="preserve">, </w:t>
      </w:r>
      <w:r>
        <w:rPr>
          <w:rFonts w:ascii="Times New Roman" w:hAnsi="Times New Roman"/>
          <w:sz w:val="24"/>
          <w:szCs w:val="24"/>
        </w:rPr>
        <w:t>Name, Surename</w:t>
      </w:r>
      <w:r w:rsidR="009F4590" w:rsidRPr="000E59A5">
        <w:rPr>
          <w:rFonts w:ascii="Times New Roman" w:hAnsi="Times New Roman"/>
          <w:sz w:val="24"/>
          <w:szCs w:val="24"/>
          <w:vertAlign w:val="superscript"/>
        </w:rPr>
        <w:t>2</w:t>
      </w:r>
      <w:r w:rsidR="009F4590" w:rsidRPr="000E59A5">
        <w:rPr>
          <w:rFonts w:ascii="Times New Roman" w:hAnsi="Times New Roman"/>
          <w:sz w:val="24"/>
          <w:szCs w:val="24"/>
        </w:rPr>
        <w:t xml:space="preserve"> and </w:t>
      </w:r>
      <w:r>
        <w:rPr>
          <w:rFonts w:ascii="Times New Roman" w:hAnsi="Times New Roman"/>
          <w:sz w:val="24"/>
          <w:szCs w:val="24"/>
        </w:rPr>
        <w:t>Name, Surename</w:t>
      </w:r>
      <w:r w:rsidR="009F4590" w:rsidRPr="000E59A5">
        <w:rPr>
          <w:rFonts w:ascii="Times New Roman" w:hAnsi="Times New Roman"/>
          <w:sz w:val="24"/>
          <w:szCs w:val="24"/>
          <w:vertAlign w:val="superscript"/>
        </w:rPr>
        <w:t>2</w:t>
      </w:r>
      <w:r w:rsidR="009F4590" w:rsidRPr="000E59A5">
        <w:rPr>
          <w:rFonts w:ascii="Times New Roman" w:hAnsi="Times New Roman"/>
          <w:sz w:val="24"/>
          <w:szCs w:val="24"/>
        </w:rPr>
        <w:t>,*</w:t>
      </w:r>
    </w:p>
    <w:p w14:paraId="2B3A1916" w14:textId="471B275B" w:rsidR="009F4590" w:rsidRPr="000E59A5" w:rsidRDefault="009F4590" w:rsidP="009F4590">
      <w:pPr>
        <w:rPr>
          <w:rFonts w:ascii="Times New Roman" w:hAnsi="Times New Roman"/>
          <w:sz w:val="24"/>
          <w:szCs w:val="24"/>
        </w:rPr>
      </w:pPr>
      <w:r w:rsidRPr="000E59A5">
        <w:rPr>
          <w:rFonts w:ascii="Times New Roman" w:hAnsi="Times New Roman"/>
          <w:sz w:val="24"/>
          <w:szCs w:val="24"/>
          <w:vertAlign w:val="superscript"/>
        </w:rPr>
        <w:t>1</w:t>
      </w:r>
      <w:r w:rsidRPr="000E59A5">
        <w:rPr>
          <w:rFonts w:ascii="Times New Roman" w:hAnsi="Times New Roman"/>
          <w:sz w:val="24"/>
          <w:szCs w:val="24"/>
        </w:rPr>
        <w:t xml:space="preserve">Affiliation 1; </w:t>
      </w:r>
      <w:r w:rsidR="000E59A5">
        <w:rPr>
          <w:rFonts w:ascii="Times New Roman" w:hAnsi="Times New Roman"/>
          <w:sz w:val="24"/>
          <w:szCs w:val="24"/>
        </w:rPr>
        <w:t>ORCID</w:t>
      </w:r>
    </w:p>
    <w:p w14:paraId="6EE11DE9" w14:textId="51876440" w:rsidR="009F4590" w:rsidRPr="000E59A5" w:rsidRDefault="009F4590" w:rsidP="009F4590">
      <w:pPr>
        <w:rPr>
          <w:rFonts w:ascii="Times New Roman" w:hAnsi="Times New Roman"/>
          <w:sz w:val="24"/>
          <w:szCs w:val="24"/>
        </w:rPr>
      </w:pPr>
      <w:r w:rsidRPr="000E59A5">
        <w:rPr>
          <w:rFonts w:ascii="Times New Roman" w:hAnsi="Times New Roman"/>
          <w:sz w:val="24"/>
          <w:szCs w:val="24"/>
          <w:vertAlign w:val="superscript"/>
        </w:rPr>
        <w:t>2</w:t>
      </w:r>
      <w:r w:rsidRPr="000E59A5">
        <w:rPr>
          <w:rFonts w:ascii="Times New Roman" w:hAnsi="Times New Roman"/>
          <w:sz w:val="24"/>
          <w:szCs w:val="24"/>
        </w:rPr>
        <w:t xml:space="preserve">Affiliation 2; </w:t>
      </w:r>
      <w:r w:rsidR="000E59A5">
        <w:rPr>
          <w:rFonts w:ascii="Times New Roman" w:hAnsi="Times New Roman"/>
          <w:sz w:val="24"/>
          <w:szCs w:val="24"/>
        </w:rPr>
        <w:t>ORCID</w:t>
      </w:r>
    </w:p>
    <w:p w14:paraId="4D4557F9" w14:textId="49E50A3C" w:rsidR="009F4590" w:rsidRPr="000E59A5" w:rsidRDefault="009F4590" w:rsidP="009F4590">
      <w:pPr>
        <w:rPr>
          <w:rFonts w:ascii="Times New Roman" w:hAnsi="Times New Roman"/>
          <w:sz w:val="24"/>
          <w:szCs w:val="24"/>
        </w:rPr>
      </w:pPr>
      <w:r w:rsidRPr="000E59A5">
        <w:rPr>
          <w:rFonts w:ascii="Times New Roman" w:hAnsi="Times New Roman"/>
          <w:sz w:val="24"/>
          <w:szCs w:val="24"/>
        </w:rPr>
        <w:t>*Correspondence: e-mail@e-mail.com</w:t>
      </w:r>
    </w:p>
    <w:p w14:paraId="0C31E3F8" w14:textId="77777777" w:rsidR="00276DC3" w:rsidRPr="000E59A5" w:rsidRDefault="00276DC3" w:rsidP="00276DC3">
      <w:pPr>
        <w:rPr>
          <w:rFonts w:ascii="Times New Roman" w:hAnsi="Times New Roman"/>
          <w:sz w:val="24"/>
          <w:szCs w:val="24"/>
        </w:rPr>
      </w:pPr>
    </w:p>
    <w:p w14:paraId="734C58D1" w14:textId="23277884" w:rsidR="00276DC3" w:rsidRPr="000E59A5" w:rsidRDefault="00276DC3" w:rsidP="00276DC3">
      <w:pPr>
        <w:rPr>
          <w:rFonts w:ascii="Times New Roman" w:hAnsi="Times New Roman"/>
          <w:sz w:val="24"/>
          <w:szCs w:val="24"/>
        </w:rPr>
      </w:pPr>
      <w:r w:rsidRPr="000E59A5">
        <w:rPr>
          <w:rFonts w:ascii="Times New Roman" w:hAnsi="Times New Roman"/>
          <w:sz w:val="24"/>
          <w:szCs w:val="24"/>
        </w:rPr>
        <w:t>Type of the Paper (</w:t>
      </w:r>
      <w:r w:rsidR="00C43463" w:rsidRPr="000E59A5">
        <w:rPr>
          <w:rFonts w:ascii="Times New Roman" w:hAnsi="Times New Roman"/>
          <w:sz w:val="24"/>
          <w:szCs w:val="24"/>
        </w:rPr>
        <w:t xml:space="preserve">original </w:t>
      </w:r>
      <w:r w:rsidR="00471A7A" w:rsidRPr="000E59A5">
        <w:rPr>
          <w:rFonts w:ascii="Times New Roman" w:hAnsi="Times New Roman"/>
          <w:sz w:val="24"/>
          <w:szCs w:val="24"/>
        </w:rPr>
        <w:t>scientific a</w:t>
      </w:r>
      <w:r w:rsidRPr="000E59A5">
        <w:rPr>
          <w:rFonts w:ascii="Times New Roman" w:hAnsi="Times New Roman"/>
          <w:sz w:val="24"/>
          <w:szCs w:val="24"/>
        </w:rPr>
        <w:t xml:space="preserve">rticle, </w:t>
      </w:r>
      <w:r w:rsidR="00C43463" w:rsidRPr="000E59A5">
        <w:rPr>
          <w:rFonts w:ascii="Times New Roman" w:hAnsi="Times New Roman"/>
          <w:sz w:val="24"/>
          <w:szCs w:val="24"/>
        </w:rPr>
        <w:t>r</w:t>
      </w:r>
      <w:r w:rsidRPr="000E59A5">
        <w:rPr>
          <w:rFonts w:ascii="Times New Roman" w:hAnsi="Times New Roman"/>
          <w:sz w:val="24"/>
          <w:szCs w:val="24"/>
        </w:rPr>
        <w:t xml:space="preserve">eview, </w:t>
      </w:r>
      <w:r w:rsidR="00471A7A" w:rsidRPr="000E59A5">
        <w:rPr>
          <w:rFonts w:ascii="Times New Roman" w:hAnsi="Times New Roman"/>
          <w:sz w:val="24"/>
          <w:szCs w:val="24"/>
        </w:rPr>
        <w:t>professional paper</w:t>
      </w:r>
      <w:r w:rsidRPr="000E59A5">
        <w:rPr>
          <w:rFonts w:ascii="Times New Roman" w:hAnsi="Times New Roman"/>
          <w:sz w:val="24"/>
          <w:szCs w:val="24"/>
        </w:rPr>
        <w:t>, etc.)</w:t>
      </w:r>
    </w:p>
    <w:p w14:paraId="7137E95C" w14:textId="77777777" w:rsidR="008F44B9" w:rsidRPr="000E59A5" w:rsidRDefault="008F44B9" w:rsidP="009F4590">
      <w:pPr>
        <w:rPr>
          <w:rFonts w:ascii="Times New Roman" w:hAnsi="Times New Roman"/>
          <w:sz w:val="24"/>
          <w:szCs w:val="24"/>
        </w:rPr>
      </w:pPr>
    </w:p>
    <w:p w14:paraId="1DE2386D" w14:textId="77777777" w:rsidR="008F44B9" w:rsidRPr="000E59A5" w:rsidRDefault="009F4590" w:rsidP="008F44B9">
      <w:pPr>
        <w:jc w:val="center"/>
        <w:rPr>
          <w:rFonts w:ascii="Times New Roman" w:hAnsi="Times New Roman"/>
          <w:b/>
          <w:bCs/>
          <w:sz w:val="24"/>
          <w:szCs w:val="24"/>
        </w:rPr>
      </w:pPr>
      <w:r w:rsidRPr="000E59A5">
        <w:rPr>
          <w:rFonts w:ascii="Times New Roman" w:hAnsi="Times New Roman"/>
          <w:b/>
          <w:bCs/>
          <w:sz w:val="24"/>
          <w:szCs w:val="24"/>
        </w:rPr>
        <w:t>Abstract</w:t>
      </w:r>
    </w:p>
    <w:p w14:paraId="4DFE00C7" w14:textId="0FEB5775" w:rsidR="005A0E4E" w:rsidRPr="000E59A5" w:rsidRDefault="005A0E4E" w:rsidP="009F4590">
      <w:pPr>
        <w:rPr>
          <w:rFonts w:ascii="Times New Roman" w:hAnsi="Times New Roman"/>
          <w:sz w:val="24"/>
          <w:szCs w:val="24"/>
        </w:rPr>
      </w:pPr>
      <w:r w:rsidRPr="000E59A5">
        <w:rPr>
          <w:rFonts w:ascii="Times New Roman" w:hAnsi="Times New Roman"/>
          <w:sz w:val="24"/>
          <w:szCs w:val="24"/>
        </w:rPr>
        <w:t xml:space="preserve">The abstract should summarize the contents of the paper in short terms, i.e. 150-250 words. </w:t>
      </w:r>
      <w:r w:rsidR="00164A16" w:rsidRPr="000E59A5">
        <w:rPr>
          <w:rFonts w:ascii="Times New Roman" w:hAnsi="Times New Roman"/>
          <w:sz w:val="24"/>
          <w:szCs w:val="24"/>
        </w:rPr>
        <w:t xml:space="preserve"> We recommend a structured abstracts highlighting the rationale of the study (backgorund) </w:t>
      </w:r>
      <w:r w:rsidRPr="000E59A5">
        <w:rPr>
          <w:rFonts w:ascii="Times New Roman" w:hAnsi="Times New Roman"/>
          <w:sz w:val="24"/>
          <w:szCs w:val="24"/>
        </w:rPr>
        <w:t>briefly describe the main methods applied; summarize the main results, and main conslusions.</w:t>
      </w:r>
    </w:p>
    <w:p w14:paraId="357BB7CC" w14:textId="09A2091B" w:rsidR="009F4590" w:rsidRPr="000E59A5" w:rsidRDefault="009F4590" w:rsidP="009F4590">
      <w:pPr>
        <w:rPr>
          <w:rFonts w:ascii="Times New Roman" w:hAnsi="Times New Roman"/>
          <w:sz w:val="24"/>
          <w:szCs w:val="24"/>
        </w:rPr>
      </w:pPr>
      <w:r w:rsidRPr="000E59A5">
        <w:rPr>
          <w:rFonts w:ascii="Times New Roman" w:hAnsi="Times New Roman"/>
          <w:sz w:val="24"/>
          <w:szCs w:val="24"/>
        </w:rPr>
        <w:t xml:space="preserve">Keywords: </w:t>
      </w:r>
      <w:r w:rsidRPr="000E59A5">
        <w:rPr>
          <w:rFonts w:ascii="Times New Roman" w:hAnsi="Times New Roman"/>
          <w:i/>
          <w:iCs/>
          <w:sz w:val="24"/>
          <w:szCs w:val="24"/>
        </w:rPr>
        <w:t>keyword 1; keyword 2; keyword 3</w:t>
      </w:r>
      <w:r w:rsidRPr="000E59A5">
        <w:rPr>
          <w:rFonts w:ascii="Times New Roman" w:hAnsi="Times New Roman"/>
          <w:sz w:val="24"/>
          <w:szCs w:val="24"/>
        </w:rPr>
        <w:t xml:space="preserve"> (</w:t>
      </w:r>
      <w:r w:rsidR="005A0E4E" w:rsidRPr="000E59A5">
        <w:rPr>
          <w:rFonts w:ascii="Times New Roman" w:hAnsi="Times New Roman"/>
          <w:sz w:val="24"/>
          <w:szCs w:val="24"/>
        </w:rPr>
        <w:t>up to five keywords</w:t>
      </w:r>
      <w:r w:rsidRPr="000E59A5">
        <w:rPr>
          <w:rFonts w:ascii="Times New Roman" w:hAnsi="Times New Roman"/>
          <w:sz w:val="24"/>
          <w:szCs w:val="24"/>
        </w:rPr>
        <w:t>)</w:t>
      </w:r>
    </w:p>
    <w:p w14:paraId="28440509" w14:textId="77777777" w:rsidR="00276DC3" w:rsidRPr="000E59A5" w:rsidRDefault="00276DC3" w:rsidP="009F4590">
      <w:pPr>
        <w:rPr>
          <w:rFonts w:ascii="Times New Roman" w:hAnsi="Times New Roman"/>
          <w:sz w:val="24"/>
          <w:szCs w:val="24"/>
        </w:rPr>
      </w:pPr>
    </w:p>
    <w:p w14:paraId="6646E573" w14:textId="29643A13" w:rsidR="009F4590" w:rsidRPr="000E59A5" w:rsidRDefault="009F4590" w:rsidP="008F44B9">
      <w:pPr>
        <w:jc w:val="center"/>
        <w:rPr>
          <w:rFonts w:ascii="Times New Roman" w:hAnsi="Times New Roman"/>
          <w:b/>
          <w:bCs/>
          <w:sz w:val="24"/>
          <w:szCs w:val="24"/>
        </w:rPr>
      </w:pPr>
      <w:r w:rsidRPr="000E59A5">
        <w:rPr>
          <w:rFonts w:ascii="Times New Roman" w:hAnsi="Times New Roman"/>
          <w:b/>
          <w:bCs/>
          <w:sz w:val="24"/>
          <w:szCs w:val="24"/>
        </w:rPr>
        <w:t>Introduction</w:t>
      </w:r>
    </w:p>
    <w:p w14:paraId="7741933F" w14:textId="3B5E7711" w:rsidR="005A0E4E" w:rsidRPr="000E59A5" w:rsidRDefault="002B61A8" w:rsidP="008F44B9">
      <w:pPr>
        <w:spacing w:after="240"/>
        <w:rPr>
          <w:rFonts w:ascii="Times New Roman" w:hAnsi="Times New Roman"/>
          <w:sz w:val="24"/>
          <w:szCs w:val="24"/>
        </w:rPr>
      </w:pPr>
      <w:r w:rsidRPr="000E59A5">
        <w:rPr>
          <w:rFonts w:ascii="Times New Roman" w:hAnsi="Times New Roman"/>
          <w:sz w:val="24"/>
          <w:szCs w:val="24"/>
        </w:rPr>
        <w:t>The introduction should briefly place the study in a broad context, stating the current state of the research field but al</w:t>
      </w:r>
      <w:r w:rsidR="00471A7A" w:rsidRPr="000E59A5">
        <w:rPr>
          <w:rFonts w:ascii="Times New Roman" w:hAnsi="Times New Roman"/>
          <w:sz w:val="24"/>
          <w:szCs w:val="24"/>
        </w:rPr>
        <w:t>so</w:t>
      </w:r>
      <w:r w:rsidRPr="000E59A5">
        <w:rPr>
          <w:rFonts w:ascii="Times New Roman" w:hAnsi="Times New Roman"/>
          <w:sz w:val="24"/>
          <w:szCs w:val="24"/>
        </w:rPr>
        <w:t xml:space="preserve"> highliting </w:t>
      </w:r>
      <w:r w:rsidR="00125F81" w:rsidRPr="000E59A5">
        <w:rPr>
          <w:rFonts w:ascii="Times New Roman" w:hAnsi="Times New Roman"/>
          <w:sz w:val="24"/>
          <w:szCs w:val="24"/>
        </w:rPr>
        <w:t xml:space="preserve">the importance of the conducted research. Review the key publications cited carefully. We recommend to </w:t>
      </w:r>
      <w:r w:rsidR="005A0E4E" w:rsidRPr="000E59A5">
        <w:rPr>
          <w:rFonts w:ascii="Times New Roman" w:hAnsi="Times New Roman"/>
          <w:sz w:val="24"/>
          <w:szCs w:val="24"/>
        </w:rPr>
        <w:t xml:space="preserve">start with broad context and highlight </w:t>
      </w:r>
      <w:r w:rsidR="00125F81" w:rsidRPr="000E59A5">
        <w:rPr>
          <w:rFonts w:ascii="Times New Roman" w:hAnsi="Times New Roman"/>
          <w:sz w:val="24"/>
          <w:szCs w:val="24"/>
        </w:rPr>
        <w:t xml:space="preserve">importance </w:t>
      </w:r>
      <w:r w:rsidR="005A0E4E" w:rsidRPr="000E59A5">
        <w:rPr>
          <w:rFonts w:ascii="Times New Roman" w:hAnsi="Times New Roman"/>
          <w:sz w:val="24"/>
          <w:szCs w:val="24"/>
        </w:rPr>
        <w:t xml:space="preserve">of the study, </w:t>
      </w:r>
      <w:r w:rsidR="00125F81" w:rsidRPr="000E59A5">
        <w:rPr>
          <w:rFonts w:ascii="Times New Roman" w:hAnsi="Times New Roman"/>
          <w:sz w:val="24"/>
          <w:szCs w:val="24"/>
        </w:rPr>
        <w:t xml:space="preserve">then </w:t>
      </w:r>
      <w:r w:rsidR="005A0E4E" w:rsidRPr="000E59A5">
        <w:rPr>
          <w:rFonts w:ascii="Times New Roman" w:hAnsi="Times New Roman"/>
          <w:sz w:val="24"/>
          <w:szCs w:val="24"/>
        </w:rPr>
        <w:t>narrow with the objectives (hypotheses) of th</w:t>
      </w:r>
      <w:r w:rsidR="00125F81" w:rsidRPr="000E59A5">
        <w:rPr>
          <w:rFonts w:ascii="Times New Roman" w:hAnsi="Times New Roman"/>
          <w:sz w:val="24"/>
          <w:szCs w:val="24"/>
        </w:rPr>
        <w:t xml:space="preserve">e </w:t>
      </w:r>
      <w:r w:rsidR="005A0E4E" w:rsidRPr="000E59A5">
        <w:rPr>
          <w:rFonts w:ascii="Times New Roman" w:hAnsi="Times New Roman"/>
          <w:sz w:val="24"/>
          <w:szCs w:val="24"/>
        </w:rPr>
        <w:t xml:space="preserve">particular study. All the references mentioned in the text should be cited APA 6 citation style (i.e.) </w:t>
      </w:r>
      <w:sdt>
        <w:sdtPr>
          <w:rPr>
            <w:rFonts w:ascii="Times New Roman" w:hAnsi="Times New Roman"/>
            <w:sz w:val="24"/>
            <w:szCs w:val="24"/>
          </w:rPr>
          <w:tag w:val="MENDELEY_CITATION_v3_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"/>
          <w:id w:val="1366869827"/>
          <w:placeholder>
            <w:docPart w:val="DefaultPlaceholder_-1854013440"/>
          </w:placeholder>
        </w:sdtPr>
        <w:sdtContent>
          <w:r w:rsidR="0063632D" w:rsidRPr="000E59A5">
            <w:rPr>
              <w:rFonts w:ascii="Times New Roman" w:hAnsi="Times New Roman"/>
              <w:sz w:val="24"/>
              <w:szCs w:val="24"/>
            </w:rPr>
            <w:t xml:space="preserve">(Mujčinović </w:t>
          </w:r>
          <w:r w:rsidR="0063632D" w:rsidRPr="000E59A5">
            <w:rPr>
              <w:rFonts w:ascii="Times New Roman" w:hAnsi="Times New Roman"/>
              <w:i/>
              <w:iCs/>
              <w:sz w:val="24"/>
              <w:szCs w:val="24"/>
            </w:rPr>
            <w:t>et al.,</w:t>
          </w:r>
          <w:r w:rsidR="0063632D" w:rsidRPr="000E59A5">
            <w:rPr>
              <w:rFonts w:ascii="Times New Roman" w:hAnsi="Times New Roman"/>
              <w:sz w:val="24"/>
              <w:szCs w:val="24"/>
            </w:rPr>
            <w:t xml:space="preserve"> 2021; Puigdueta </w:t>
          </w:r>
          <w:r w:rsidR="0063632D" w:rsidRPr="000E59A5">
            <w:rPr>
              <w:rFonts w:ascii="Times New Roman" w:hAnsi="Times New Roman"/>
              <w:i/>
              <w:iCs/>
              <w:sz w:val="24"/>
              <w:szCs w:val="24"/>
            </w:rPr>
            <w:t>et al</w:t>
          </w:r>
          <w:r w:rsidR="0063632D" w:rsidRPr="000E59A5">
            <w:rPr>
              <w:rFonts w:ascii="Times New Roman" w:hAnsi="Times New Roman"/>
              <w:sz w:val="24"/>
              <w:szCs w:val="24"/>
            </w:rPr>
            <w:t>., 2021; White, 2011)</w:t>
          </w:r>
        </w:sdtContent>
      </w:sdt>
      <w:r w:rsidR="005A0E4E" w:rsidRPr="000E59A5">
        <w:rPr>
          <w:rFonts w:ascii="Times New Roman" w:hAnsi="Times New Roman"/>
          <w:sz w:val="24"/>
          <w:szCs w:val="24"/>
        </w:rPr>
        <w:t xml:space="preserve">. We strongly encourage use of bibliometric softwares. </w:t>
      </w:r>
    </w:p>
    <w:p w14:paraId="6CCE02DA" w14:textId="3BFC72BA" w:rsidR="009F4590" w:rsidRPr="000E59A5" w:rsidRDefault="009F4590" w:rsidP="008F44B9">
      <w:pPr>
        <w:jc w:val="center"/>
        <w:rPr>
          <w:rFonts w:ascii="Times New Roman" w:hAnsi="Times New Roman"/>
          <w:b/>
          <w:bCs/>
          <w:sz w:val="24"/>
          <w:szCs w:val="24"/>
        </w:rPr>
      </w:pPr>
      <w:r w:rsidRPr="000E59A5">
        <w:rPr>
          <w:rFonts w:ascii="Times New Roman" w:hAnsi="Times New Roman"/>
          <w:b/>
          <w:bCs/>
          <w:sz w:val="24"/>
          <w:szCs w:val="24"/>
        </w:rPr>
        <w:t>Materials and Methods</w:t>
      </w:r>
    </w:p>
    <w:p w14:paraId="57B27F29" w14:textId="4476128C" w:rsidR="00014880" w:rsidRPr="000E59A5" w:rsidRDefault="00014880" w:rsidP="00014880">
      <w:pPr>
        <w:spacing w:after="240"/>
        <w:rPr>
          <w:rFonts w:ascii="Times New Roman" w:hAnsi="Times New Roman"/>
          <w:sz w:val="24"/>
          <w:szCs w:val="24"/>
        </w:rPr>
      </w:pPr>
      <w:r w:rsidRPr="000E59A5">
        <w:rPr>
          <w:rFonts w:ascii="Times New Roman" w:hAnsi="Times New Roman"/>
          <w:sz w:val="24"/>
          <w:szCs w:val="24"/>
        </w:rPr>
        <w:t>This sections should be writen with enough details to allow replication of such experiment</w:t>
      </w:r>
      <w:r w:rsidR="00D73BE3" w:rsidRPr="000E59A5">
        <w:rPr>
          <w:rFonts w:ascii="Times New Roman" w:hAnsi="Times New Roman"/>
          <w:sz w:val="24"/>
          <w:szCs w:val="24"/>
        </w:rPr>
        <w:t xml:space="preserve"> or</w:t>
      </w:r>
      <w:r w:rsidRPr="000E59A5">
        <w:rPr>
          <w:rFonts w:ascii="Times New Roman" w:hAnsi="Times New Roman"/>
          <w:sz w:val="24"/>
          <w:szCs w:val="24"/>
        </w:rPr>
        <w:t xml:space="preserve"> study design.</w:t>
      </w:r>
      <w:r w:rsidR="00125F81" w:rsidRPr="000E59A5">
        <w:rPr>
          <w:rFonts w:ascii="Times New Roman" w:hAnsi="Times New Roman"/>
          <w:sz w:val="24"/>
          <w:szCs w:val="24"/>
        </w:rPr>
        <w:t xml:space="preserve"> New methods (protocols) should be  described in detail, enabling the replication of the experiment.  Already established methods can be briefly described and referenced ac</w:t>
      </w:r>
      <w:r w:rsidR="00BC324F" w:rsidRPr="000E59A5">
        <w:rPr>
          <w:rFonts w:ascii="Times New Roman" w:hAnsi="Times New Roman"/>
          <w:sz w:val="24"/>
          <w:szCs w:val="24"/>
        </w:rPr>
        <w:t>c</w:t>
      </w:r>
      <w:r w:rsidR="00125F81" w:rsidRPr="000E59A5">
        <w:rPr>
          <w:rFonts w:ascii="Times New Roman" w:hAnsi="Times New Roman"/>
          <w:sz w:val="24"/>
          <w:szCs w:val="24"/>
        </w:rPr>
        <w:t xml:space="preserve">ordingly. Name and versions of any softwear must be provided. </w:t>
      </w:r>
    </w:p>
    <w:p w14:paraId="470502E3" w14:textId="5B3769D4" w:rsidR="009F4590" w:rsidRPr="000E59A5" w:rsidRDefault="009F4590" w:rsidP="008F44B9">
      <w:pPr>
        <w:jc w:val="center"/>
        <w:rPr>
          <w:rFonts w:ascii="Times New Roman" w:hAnsi="Times New Roman"/>
          <w:b/>
          <w:bCs/>
          <w:sz w:val="24"/>
          <w:szCs w:val="24"/>
        </w:rPr>
      </w:pPr>
      <w:r w:rsidRPr="000E59A5">
        <w:rPr>
          <w:rFonts w:ascii="Times New Roman" w:hAnsi="Times New Roman"/>
          <w:b/>
          <w:bCs/>
          <w:sz w:val="24"/>
          <w:szCs w:val="24"/>
        </w:rPr>
        <w:t>Results</w:t>
      </w:r>
      <w:r w:rsidR="008F44B9" w:rsidRPr="000E59A5">
        <w:rPr>
          <w:rFonts w:ascii="Times New Roman" w:hAnsi="Times New Roman"/>
          <w:b/>
          <w:bCs/>
          <w:sz w:val="24"/>
          <w:szCs w:val="24"/>
        </w:rPr>
        <w:t xml:space="preserve"> and Discussion</w:t>
      </w:r>
    </w:p>
    <w:p w14:paraId="315B4A8F" w14:textId="0C2EFFD2" w:rsidR="00014880" w:rsidRPr="000E59A5" w:rsidRDefault="00014880" w:rsidP="009F4590">
      <w:pPr>
        <w:rPr>
          <w:rFonts w:ascii="Times New Roman" w:hAnsi="Times New Roman"/>
          <w:sz w:val="24"/>
          <w:szCs w:val="24"/>
        </w:rPr>
      </w:pPr>
      <w:r w:rsidRPr="000E59A5">
        <w:rPr>
          <w:rFonts w:ascii="Times New Roman" w:hAnsi="Times New Roman"/>
          <w:sz w:val="24"/>
          <w:szCs w:val="24"/>
        </w:rPr>
        <w:t xml:space="preserve">Keep it simple and concise – especially if tables and figures are used but simply referring to tables and figures is not sufficient. Appropriate way to reference a table or </w:t>
      </w:r>
      <w:r w:rsidRPr="000E59A5">
        <w:rPr>
          <w:rFonts w:ascii="Times New Roman" w:hAnsi="Times New Roman"/>
          <w:sz w:val="24"/>
          <w:szCs w:val="24"/>
        </w:rPr>
        <w:lastRenderedPageBreak/>
        <w:t>figure</w:t>
      </w:r>
      <w:r w:rsidR="00164A16" w:rsidRPr="000E59A5">
        <w:rPr>
          <w:rFonts w:ascii="Times New Roman" w:hAnsi="Times New Roman"/>
          <w:sz w:val="24"/>
          <w:szCs w:val="24"/>
        </w:rPr>
        <w:t xml:space="preserve"> could be “…</w:t>
      </w:r>
      <w:r w:rsidRPr="000E59A5">
        <w:rPr>
          <w:rFonts w:ascii="Times New Roman" w:hAnsi="Times New Roman"/>
          <w:sz w:val="24"/>
          <w:szCs w:val="24"/>
        </w:rPr>
        <w:t>increase in farmers income is evident during observed period, as it could be seen from Figure 1</w:t>
      </w:r>
      <w:r w:rsidR="00164A16" w:rsidRPr="000E59A5">
        <w:rPr>
          <w:rFonts w:ascii="Times New Roman" w:hAnsi="Times New Roman"/>
          <w:sz w:val="24"/>
          <w:szCs w:val="24"/>
        </w:rPr>
        <w:t>…”</w:t>
      </w:r>
      <w:r w:rsidRPr="000E59A5">
        <w:rPr>
          <w:rFonts w:ascii="Times New Roman" w:hAnsi="Times New Roman"/>
          <w:sz w:val="24"/>
          <w:szCs w:val="24"/>
        </w:rPr>
        <w:t>.</w:t>
      </w:r>
    </w:p>
    <w:p w14:paraId="125CDB25" w14:textId="77777777" w:rsidR="00014880" w:rsidRPr="000E59A5" w:rsidRDefault="00014880" w:rsidP="009F4590">
      <w:pPr>
        <w:rPr>
          <w:rFonts w:ascii="Times New Roman" w:hAnsi="Times New Roman"/>
          <w:sz w:val="24"/>
          <w:szCs w:val="24"/>
        </w:rPr>
      </w:pPr>
    </w:p>
    <w:p w14:paraId="3E51A1D9"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All figures and tables should be cited in the main text as Figure 1, Table 1, etc.</w:t>
      </w:r>
    </w:p>
    <w:p w14:paraId="5CBACAA9" w14:textId="069E26D6" w:rsidR="009F4590" w:rsidRPr="000E59A5" w:rsidRDefault="0090342C" w:rsidP="009F4590">
      <w:pPr>
        <w:rPr>
          <w:rFonts w:ascii="Times New Roman" w:hAnsi="Times New Roman"/>
          <w:sz w:val="24"/>
          <w:szCs w:val="24"/>
        </w:rPr>
      </w:pPr>
      <w:r w:rsidRPr="000E59A5">
        <w:rPr>
          <w:rFonts w:ascii="Times New Roman" w:hAnsi="Times New Roman"/>
          <w:sz w:val="24"/>
          <w:szCs w:val="24"/>
          <w:lang w:val="bs-Latn-BA" w:eastAsia="bs-Latn-BA"/>
        </w:rPr>
        <w:drawing>
          <wp:inline distT="0" distB="0" distL="0" distR="0" wp14:anchorId="7C4497EF" wp14:editId="401F749F">
            <wp:extent cx="5219700" cy="20339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19947" cy="2034001"/>
                    </a:xfrm>
                    <a:prstGeom prst="rect">
                      <a:avLst/>
                    </a:prstGeom>
                  </pic:spPr>
                </pic:pic>
              </a:graphicData>
            </a:graphic>
          </wp:inline>
        </w:drawing>
      </w:r>
    </w:p>
    <w:p w14:paraId="04FDA484" w14:textId="29E96332" w:rsidR="009F4590" w:rsidRPr="000E59A5" w:rsidRDefault="009F4590" w:rsidP="009F4590">
      <w:pPr>
        <w:rPr>
          <w:rFonts w:ascii="Times New Roman" w:hAnsi="Times New Roman"/>
          <w:sz w:val="24"/>
          <w:szCs w:val="24"/>
        </w:rPr>
      </w:pPr>
      <w:r w:rsidRPr="000E59A5">
        <w:rPr>
          <w:rFonts w:ascii="Times New Roman" w:hAnsi="Times New Roman"/>
          <w:b/>
          <w:bCs/>
          <w:sz w:val="24"/>
          <w:szCs w:val="24"/>
        </w:rPr>
        <w:t>Figure 1.</w:t>
      </w:r>
      <w:r w:rsidRPr="000E59A5">
        <w:rPr>
          <w:rFonts w:ascii="Times New Roman" w:hAnsi="Times New Roman"/>
          <w:sz w:val="24"/>
          <w:szCs w:val="24"/>
        </w:rPr>
        <w:t xml:space="preserve"> This is a figure. Schemes follow the same formatting.</w:t>
      </w:r>
      <w:r w:rsidR="0090342C" w:rsidRPr="000E59A5">
        <w:rPr>
          <w:rFonts w:ascii="Times New Roman" w:hAnsi="Times New Roman"/>
          <w:sz w:val="24"/>
          <w:szCs w:val="24"/>
        </w:rPr>
        <w:t xml:space="preserve"> Assure proper format of the figures and schemes, pictures.</w:t>
      </w:r>
      <w:r w:rsidR="00532BD2" w:rsidRPr="000E59A5">
        <w:rPr>
          <w:rFonts w:ascii="Times New Roman" w:hAnsi="Times New Roman"/>
          <w:sz w:val="24"/>
          <w:szCs w:val="24"/>
        </w:rPr>
        <w:t xml:space="preserve"> </w:t>
      </w:r>
    </w:p>
    <w:p w14:paraId="451281BD" w14:textId="30B42ADB" w:rsidR="00014880" w:rsidRPr="000E59A5" w:rsidRDefault="00014880" w:rsidP="009F4590">
      <w:pPr>
        <w:rPr>
          <w:rFonts w:ascii="Times New Roman" w:hAnsi="Times New Roman"/>
          <w:sz w:val="24"/>
          <w:szCs w:val="24"/>
        </w:rPr>
      </w:pPr>
    </w:p>
    <w:p w14:paraId="0ADCD43A" w14:textId="77777777" w:rsidR="0090342C" w:rsidRPr="000E59A5" w:rsidRDefault="0090342C" w:rsidP="009F4590">
      <w:pPr>
        <w:rPr>
          <w:rFonts w:ascii="Times New Roman" w:hAnsi="Times New Roman"/>
          <w:sz w:val="24"/>
          <w:szCs w:val="24"/>
        </w:rPr>
      </w:pPr>
    </w:p>
    <w:p w14:paraId="119D1DBE" w14:textId="1D3994E9" w:rsidR="009F4590" w:rsidRPr="000E59A5" w:rsidRDefault="009F4590" w:rsidP="009F4590">
      <w:pPr>
        <w:rPr>
          <w:rFonts w:ascii="Times New Roman" w:hAnsi="Times New Roman"/>
          <w:sz w:val="24"/>
          <w:szCs w:val="24"/>
        </w:rPr>
      </w:pPr>
      <w:r w:rsidRPr="000E59A5">
        <w:rPr>
          <w:rFonts w:ascii="Times New Roman" w:hAnsi="Times New Roman"/>
          <w:b/>
          <w:bCs/>
          <w:sz w:val="24"/>
          <w:szCs w:val="24"/>
        </w:rPr>
        <w:t>Table 1.</w:t>
      </w:r>
      <w:r w:rsidRPr="000E59A5">
        <w:rPr>
          <w:rFonts w:ascii="Times New Roman" w:hAnsi="Times New Roman"/>
          <w:sz w:val="24"/>
          <w:szCs w:val="24"/>
        </w:rPr>
        <w:t xml:space="preserve"> This is a table. Tables should be placed in the main text near to the first time they are cited.</w:t>
      </w:r>
    </w:p>
    <w:tbl>
      <w:tblPr>
        <w:tblW w:w="8389"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161"/>
        <w:gridCol w:w="2476"/>
        <w:gridCol w:w="1376"/>
        <w:gridCol w:w="1376"/>
      </w:tblGrid>
      <w:tr w:rsidR="009F4590" w:rsidRPr="000E59A5" w14:paraId="5EA5800B" w14:textId="77777777" w:rsidTr="000E59A5">
        <w:trPr>
          <w:trHeight w:val="277"/>
          <w:jc w:val="center"/>
        </w:trPr>
        <w:tc>
          <w:tcPr>
            <w:tcW w:w="3161" w:type="dxa"/>
            <w:tcBorders>
              <w:top w:val="single" w:sz="8" w:space="0" w:color="auto"/>
              <w:bottom w:val="single" w:sz="4" w:space="0" w:color="auto"/>
            </w:tcBorders>
            <w:shd w:val="clear" w:color="auto" w:fill="auto"/>
            <w:vAlign w:val="center"/>
          </w:tcPr>
          <w:p w14:paraId="4F49C3B5"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Title 1</w:t>
            </w:r>
          </w:p>
        </w:tc>
        <w:tc>
          <w:tcPr>
            <w:tcW w:w="2476" w:type="dxa"/>
            <w:tcBorders>
              <w:top w:val="single" w:sz="8" w:space="0" w:color="auto"/>
              <w:bottom w:val="single" w:sz="4" w:space="0" w:color="auto"/>
            </w:tcBorders>
            <w:shd w:val="clear" w:color="auto" w:fill="auto"/>
            <w:vAlign w:val="center"/>
          </w:tcPr>
          <w:p w14:paraId="5BE5E2E0"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Title 2</w:t>
            </w:r>
          </w:p>
        </w:tc>
        <w:tc>
          <w:tcPr>
            <w:tcW w:w="1376" w:type="dxa"/>
            <w:tcBorders>
              <w:top w:val="single" w:sz="8" w:space="0" w:color="auto"/>
              <w:bottom w:val="single" w:sz="4" w:space="0" w:color="auto"/>
            </w:tcBorders>
            <w:shd w:val="clear" w:color="auto" w:fill="auto"/>
            <w:vAlign w:val="center"/>
            <w:hideMark/>
          </w:tcPr>
          <w:p w14:paraId="1D3D8956"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Title 3</w:t>
            </w:r>
          </w:p>
        </w:tc>
        <w:tc>
          <w:tcPr>
            <w:tcW w:w="1376" w:type="dxa"/>
            <w:tcBorders>
              <w:top w:val="single" w:sz="8" w:space="0" w:color="auto"/>
              <w:bottom w:val="single" w:sz="4" w:space="0" w:color="auto"/>
            </w:tcBorders>
            <w:shd w:val="clear" w:color="auto" w:fill="auto"/>
            <w:vAlign w:val="center"/>
          </w:tcPr>
          <w:p w14:paraId="5CCA798A"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Title 4</w:t>
            </w:r>
          </w:p>
        </w:tc>
      </w:tr>
      <w:tr w:rsidR="009F4590" w:rsidRPr="000E59A5" w14:paraId="46F63AB0" w14:textId="77777777" w:rsidTr="000E59A5">
        <w:trPr>
          <w:trHeight w:val="267"/>
          <w:jc w:val="center"/>
        </w:trPr>
        <w:tc>
          <w:tcPr>
            <w:tcW w:w="3161" w:type="dxa"/>
            <w:vMerge w:val="restart"/>
            <w:tcBorders>
              <w:top w:val="single" w:sz="4" w:space="0" w:color="auto"/>
            </w:tcBorders>
            <w:shd w:val="clear" w:color="auto" w:fill="auto"/>
            <w:vAlign w:val="center"/>
            <w:hideMark/>
          </w:tcPr>
          <w:p w14:paraId="0E2E08D4"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entry 1 *</w:t>
            </w:r>
          </w:p>
        </w:tc>
        <w:tc>
          <w:tcPr>
            <w:tcW w:w="2476" w:type="dxa"/>
            <w:tcBorders>
              <w:top w:val="single" w:sz="4" w:space="0" w:color="auto"/>
              <w:bottom w:val="nil"/>
            </w:tcBorders>
            <w:shd w:val="clear" w:color="auto" w:fill="auto"/>
            <w:vAlign w:val="center"/>
            <w:hideMark/>
          </w:tcPr>
          <w:p w14:paraId="171576E6"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c>
          <w:tcPr>
            <w:tcW w:w="1376" w:type="dxa"/>
            <w:tcBorders>
              <w:top w:val="single" w:sz="4" w:space="0" w:color="auto"/>
              <w:bottom w:val="nil"/>
            </w:tcBorders>
            <w:shd w:val="clear" w:color="auto" w:fill="auto"/>
            <w:vAlign w:val="center"/>
          </w:tcPr>
          <w:p w14:paraId="2D7F0CC7"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c>
          <w:tcPr>
            <w:tcW w:w="1376" w:type="dxa"/>
            <w:tcBorders>
              <w:top w:val="single" w:sz="4" w:space="0" w:color="auto"/>
              <w:bottom w:val="nil"/>
            </w:tcBorders>
            <w:shd w:val="clear" w:color="auto" w:fill="auto"/>
            <w:vAlign w:val="center"/>
          </w:tcPr>
          <w:p w14:paraId="7E1A031C"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r>
      <w:tr w:rsidR="009F4590" w:rsidRPr="000E59A5" w14:paraId="2162D45F" w14:textId="77777777" w:rsidTr="000E59A5">
        <w:trPr>
          <w:trHeight w:val="142"/>
          <w:jc w:val="center"/>
        </w:trPr>
        <w:tc>
          <w:tcPr>
            <w:tcW w:w="3161" w:type="dxa"/>
            <w:vMerge/>
            <w:shd w:val="clear" w:color="auto" w:fill="auto"/>
            <w:vAlign w:val="center"/>
            <w:hideMark/>
          </w:tcPr>
          <w:p w14:paraId="6F3652F8" w14:textId="77777777" w:rsidR="009F4590" w:rsidRPr="000E59A5" w:rsidRDefault="009F4590" w:rsidP="009F4590">
            <w:pPr>
              <w:rPr>
                <w:rFonts w:ascii="Times New Roman" w:hAnsi="Times New Roman"/>
                <w:sz w:val="24"/>
                <w:szCs w:val="24"/>
              </w:rPr>
            </w:pPr>
          </w:p>
        </w:tc>
        <w:tc>
          <w:tcPr>
            <w:tcW w:w="2476" w:type="dxa"/>
            <w:tcBorders>
              <w:top w:val="nil"/>
              <w:bottom w:val="nil"/>
            </w:tcBorders>
            <w:shd w:val="clear" w:color="auto" w:fill="auto"/>
            <w:vAlign w:val="center"/>
            <w:hideMark/>
          </w:tcPr>
          <w:p w14:paraId="1219D68D"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c>
          <w:tcPr>
            <w:tcW w:w="1376" w:type="dxa"/>
            <w:tcBorders>
              <w:top w:val="nil"/>
              <w:bottom w:val="nil"/>
            </w:tcBorders>
            <w:shd w:val="clear" w:color="auto" w:fill="auto"/>
            <w:vAlign w:val="center"/>
          </w:tcPr>
          <w:p w14:paraId="0448ACC7"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c>
          <w:tcPr>
            <w:tcW w:w="1376" w:type="dxa"/>
            <w:tcBorders>
              <w:top w:val="nil"/>
              <w:bottom w:val="nil"/>
            </w:tcBorders>
            <w:shd w:val="clear" w:color="auto" w:fill="auto"/>
            <w:vAlign w:val="center"/>
          </w:tcPr>
          <w:p w14:paraId="731901B1"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r>
      <w:tr w:rsidR="009F4590" w:rsidRPr="000E59A5" w14:paraId="2D995BB3" w14:textId="77777777" w:rsidTr="000E59A5">
        <w:trPr>
          <w:trHeight w:val="142"/>
          <w:jc w:val="center"/>
        </w:trPr>
        <w:tc>
          <w:tcPr>
            <w:tcW w:w="3161" w:type="dxa"/>
            <w:vMerge/>
            <w:tcBorders>
              <w:bottom w:val="single" w:sz="4" w:space="0" w:color="auto"/>
            </w:tcBorders>
            <w:shd w:val="clear" w:color="auto" w:fill="auto"/>
            <w:vAlign w:val="center"/>
          </w:tcPr>
          <w:p w14:paraId="6779F7BB" w14:textId="77777777" w:rsidR="009F4590" w:rsidRPr="000E59A5" w:rsidRDefault="009F4590" w:rsidP="009F4590">
            <w:pPr>
              <w:rPr>
                <w:rFonts w:ascii="Times New Roman" w:hAnsi="Times New Roman"/>
                <w:sz w:val="24"/>
                <w:szCs w:val="24"/>
              </w:rPr>
            </w:pPr>
          </w:p>
        </w:tc>
        <w:tc>
          <w:tcPr>
            <w:tcW w:w="2476" w:type="dxa"/>
            <w:tcBorders>
              <w:top w:val="nil"/>
              <w:bottom w:val="single" w:sz="4" w:space="0" w:color="auto"/>
            </w:tcBorders>
            <w:shd w:val="clear" w:color="auto" w:fill="auto"/>
            <w:vAlign w:val="center"/>
          </w:tcPr>
          <w:p w14:paraId="4D21BC1D"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c>
          <w:tcPr>
            <w:tcW w:w="1376" w:type="dxa"/>
            <w:tcBorders>
              <w:top w:val="nil"/>
              <w:bottom w:val="single" w:sz="4" w:space="0" w:color="auto"/>
            </w:tcBorders>
            <w:shd w:val="clear" w:color="auto" w:fill="auto"/>
            <w:vAlign w:val="center"/>
          </w:tcPr>
          <w:p w14:paraId="223A960E"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c>
          <w:tcPr>
            <w:tcW w:w="1376" w:type="dxa"/>
            <w:tcBorders>
              <w:top w:val="nil"/>
              <w:bottom w:val="single" w:sz="4" w:space="0" w:color="auto"/>
            </w:tcBorders>
            <w:shd w:val="clear" w:color="auto" w:fill="auto"/>
            <w:vAlign w:val="center"/>
          </w:tcPr>
          <w:p w14:paraId="3C9B51AE"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r>
      <w:tr w:rsidR="009F4590" w:rsidRPr="000E59A5" w14:paraId="5B5C08DF" w14:textId="77777777" w:rsidTr="000E59A5">
        <w:trPr>
          <w:trHeight w:val="277"/>
          <w:jc w:val="center"/>
        </w:trPr>
        <w:tc>
          <w:tcPr>
            <w:tcW w:w="3161" w:type="dxa"/>
            <w:vMerge w:val="restart"/>
            <w:tcBorders>
              <w:top w:val="single" w:sz="4" w:space="0" w:color="auto"/>
              <w:bottom w:val="nil"/>
            </w:tcBorders>
            <w:shd w:val="clear" w:color="auto" w:fill="auto"/>
            <w:vAlign w:val="center"/>
            <w:hideMark/>
          </w:tcPr>
          <w:p w14:paraId="6F5FB38C"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entry 2</w:t>
            </w:r>
          </w:p>
        </w:tc>
        <w:tc>
          <w:tcPr>
            <w:tcW w:w="2476" w:type="dxa"/>
            <w:tcBorders>
              <w:top w:val="single" w:sz="4" w:space="0" w:color="auto"/>
              <w:bottom w:val="nil"/>
            </w:tcBorders>
            <w:shd w:val="clear" w:color="auto" w:fill="auto"/>
            <w:vAlign w:val="center"/>
            <w:hideMark/>
          </w:tcPr>
          <w:p w14:paraId="4577F3AD"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c>
          <w:tcPr>
            <w:tcW w:w="1376" w:type="dxa"/>
            <w:tcBorders>
              <w:top w:val="single" w:sz="4" w:space="0" w:color="auto"/>
              <w:bottom w:val="nil"/>
            </w:tcBorders>
            <w:shd w:val="clear" w:color="auto" w:fill="auto"/>
            <w:vAlign w:val="center"/>
            <w:hideMark/>
          </w:tcPr>
          <w:p w14:paraId="25CC0A64"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c>
          <w:tcPr>
            <w:tcW w:w="1376" w:type="dxa"/>
            <w:tcBorders>
              <w:top w:val="single" w:sz="4" w:space="0" w:color="auto"/>
              <w:bottom w:val="nil"/>
            </w:tcBorders>
            <w:shd w:val="clear" w:color="auto" w:fill="auto"/>
            <w:vAlign w:val="center"/>
          </w:tcPr>
          <w:p w14:paraId="1FB7704D"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r>
      <w:tr w:rsidR="009F4590" w:rsidRPr="000E59A5" w14:paraId="7B7E2DFC" w14:textId="77777777" w:rsidTr="000E59A5">
        <w:trPr>
          <w:trHeight w:val="142"/>
          <w:jc w:val="center"/>
        </w:trPr>
        <w:tc>
          <w:tcPr>
            <w:tcW w:w="3161" w:type="dxa"/>
            <w:vMerge/>
            <w:tcBorders>
              <w:top w:val="nil"/>
              <w:bottom w:val="single" w:sz="4" w:space="0" w:color="auto"/>
            </w:tcBorders>
            <w:shd w:val="clear" w:color="auto" w:fill="auto"/>
            <w:vAlign w:val="center"/>
            <w:hideMark/>
          </w:tcPr>
          <w:p w14:paraId="74CD371D" w14:textId="77777777" w:rsidR="009F4590" w:rsidRPr="000E59A5" w:rsidRDefault="009F4590" w:rsidP="009F4590">
            <w:pPr>
              <w:rPr>
                <w:rFonts w:ascii="Times New Roman" w:hAnsi="Times New Roman"/>
                <w:sz w:val="24"/>
                <w:szCs w:val="24"/>
              </w:rPr>
            </w:pPr>
          </w:p>
        </w:tc>
        <w:tc>
          <w:tcPr>
            <w:tcW w:w="2476" w:type="dxa"/>
            <w:tcBorders>
              <w:top w:val="nil"/>
              <w:bottom w:val="single" w:sz="4" w:space="0" w:color="auto"/>
            </w:tcBorders>
            <w:shd w:val="clear" w:color="auto" w:fill="auto"/>
            <w:vAlign w:val="center"/>
            <w:hideMark/>
          </w:tcPr>
          <w:p w14:paraId="7FC84725"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c>
          <w:tcPr>
            <w:tcW w:w="1376" w:type="dxa"/>
            <w:tcBorders>
              <w:top w:val="nil"/>
              <w:bottom w:val="single" w:sz="4" w:space="0" w:color="auto"/>
            </w:tcBorders>
            <w:shd w:val="clear" w:color="auto" w:fill="auto"/>
            <w:vAlign w:val="center"/>
            <w:hideMark/>
          </w:tcPr>
          <w:p w14:paraId="415E6122"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c>
          <w:tcPr>
            <w:tcW w:w="1376" w:type="dxa"/>
            <w:tcBorders>
              <w:top w:val="nil"/>
              <w:bottom w:val="single" w:sz="4" w:space="0" w:color="auto"/>
            </w:tcBorders>
            <w:shd w:val="clear" w:color="auto" w:fill="auto"/>
            <w:vAlign w:val="center"/>
          </w:tcPr>
          <w:p w14:paraId="5CC13795"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r>
      <w:tr w:rsidR="009F4590" w:rsidRPr="000E59A5" w14:paraId="1DDDD589" w14:textId="77777777" w:rsidTr="000E59A5">
        <w:trPr>
          <w:trHeight w:val="267"/>
          <w:jc w:val="center"/>
        </w:trPr>
        <w:tc>
          <w:tcPr>
            <w:tcW w:w="3161" w:type="dxa"/>
            <w:vMerge w:val="restart"/>
            <w:tcBorders>
              <w:top w:val="single" w:sz="4" w:space="0" w:color="auto"/>
              <w:bottom w:val="nil"/>
            </w:tcBorders>
            <w:shd w:val="clear" w:color="auto" w:fill="auto"/>
            <w:vAlign w:val="center"/>
            <w:hideMark/>
          </w:tcPr>
          <w:p w14:paraId="32B71B1A"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entry 3</w:t>
            </w:r>
          </w:p>
        </w:tc>
        <w:tc>
          <w:tcPr>
            <w:tcW w:w="2476" w:type="dxa"/>
            <w:tcBorders>
              <w:top w:val="single" w:sz="4" w:space="0" w:color="auto"/>
              <w:bottom w:val="nil"/>
            </w:tcBorders>
            <w:shd w:val="clear" w:color="auto" w:fill="auto"/>
            <w:vAlign w:val="center"/>
            <w:hideMark/>
          </w:tcPr>
          <w:p w14:paraId="35978658"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c>
          <w:tcPr>
            <w:tcW w:w="1376" w:type="dxa"/>
            <w:tcBorders>
              <w:top w:val="single" w:sz="4" w:space="0" w:color="auto"/>
              <w:bottom w:val="nil"/>
            </w:tcBorders>
            <w:shd w:val="clear" w:color="auto" w:fill="auto"/>
            <w:vAlign w:val="center"/>
            <w:hideMark/>
          </w:tcPr>
          <w:p w14:paraId="1109A5E7"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c>
          <w:tcPr>
            <w:tcW w:w="1376" w:type="dxa"/>
            <w:tcBorders>
              <w:top w:val="single" w:sz="4" w:space="0" w:color="auto"/>
              <w:bottom w:val="nil"/>
            </w:tcBorders>
            <w:shd w:val="clear" w:color="auto" w:fill="auto"/>
            <w:vAlign w:val="center"/>
          </w:tcPr>
          <w:p w14:paraId="3A2E50C8"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r>
      <w:tr w:rsidR="009F4590" w:rsidRPr="000E59A5" w14:paraId="3A52B1C4" w14:textId="77777777" w:rsidTr="000E59A5">
        <w:trPr>
          <w:trHeight w:val="142"/>
          <w:jc w:val="center"/>
        </w:trPr>
        <w:tc>
          <w:tcPr>
            <w:tcW w:w="3161" w:type="dxa"/>
            <w:vMerge/>
            <w:tcBorders>
              <w:top w:val="nil"/>
              <w:bottom w:val="nil"/>
            </w:tcBorders>
            <w:shd w:val="clear" w:color="auto" w:fill="auto"/>
            <w:vAlign w:val="center"/>
            <w:hideMark/>
          </w:tcPr>
          <w:p w14:paraId="6255AA2E" w14:textId="77777777" w:rsidR="009F4590" w:rsidRPr="000E59A5" w:rsidRDefault="009F4590" w:rsidP="009F4590">
            <w:pPr>
              <w:rPr>
                <w:rFonts w:ascii="Times New Roman" w:hAnsi="Times New Roman"/>
                <w:sz w:val="24"/>
                <w:szCs w:val="24"/>
              </w:rPr>
            </w:pPr>
          </w:p>
        </w:tc>
        <w:tc>
          <w:tcPr>
            <w:tcW w:w="2476" w:type="dxa"/>
            <w:tcBorders>
              <w:top w:val="nil"/>
              <w:bottom w:val="nil"/>
            </w:tcBorders>
            <w:shd w:val="clear" w:color="auto" w:fill="auto"/>
            <w:vAlign w:val="center"/>
            <w:hideMark/>
          </w:tcPr>
          <w:p w14:paraId="0B6E9682"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c>
          <w:tcPr>
            <w:tcW w:w="1376" w:type="dxa"/>
            <w:tcBorders>
              <w:top w:val="nil"/>
              <w:bottom w:val="nil"/>
            </w:tcBorders>
            <w:shd w:val="clear" w:color="auto" w:fill="auto"/>
            <w:vAlign w:val="center"/>
            <w:hideMark/>
          </w:tcPr>
          <w:p w14:paraId="2C90AD01"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c>
          <w:tcPr>
            <w:tcW w:w="1376" w:type="dxa"/>
            <w:tcBorders>
              <w:top w:val="nil"/>
              <w:bottom w:val="nil"/>
            </w:tcBorders>
            <w:shd w:val="clear" w:color="auto" w:fill="auto"/>
            <w:vAlign w:val="center"/>
          </w:tcPr>
          <w:p w14:paraId="4549C68C"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r>
      <w:tr w:rsidR="009F4590" w:rsidRPr="000E59A5" w14:paraId="015897DE" w14:textId="77777777" w:rsidTr="000E59A5">
        <w:trPr>
          <w:trHeight w:val="142"/>
          <w:jc w:val="center"/>
        </w:trPr>
        <w:tc>
          <w:tcPr>
            <w:tcW w:w="3161" w:type="dxa"/>
            <w:vMerge/>
            <w:tcBorders>
              <w:top w:val="nil"/>
              <w:bottom w:val="nil"/>
            </w:tcBorders>
            <w:shd w:val="clear" w:color="auto" w:fill="auto"/>
            <w:vAlign w:val="center"/>
            <w:hideMark/>
          </w:tcPr>
          <w:p w14:paraId="117A7BEE" w14:textId="77777777" w:rsidR="009F4590" w:rsidRPr="000E59A5" w:rsidRDefault="009F4590" w:rsidP="009F4590">
            <w:pPr>
              <w:rPr>
                <w:rFonts w:ascii="Times New Roman" w:hAnsi="Times New Roman"/>
                <w:sz w:val="24"/>
                <w:szCs w:val="24"/>
              </w:rPr>
            </w:pPr>
          </w:p>
        </w:tc>
        <w:tc>
          <w:tcPr>
            <w:tcW w:w="2476" w:type="dxa"/>
            <w:tcBorders>
              <w:top w:val="nil"/>
              <w:bottom w:val="nil"/>
            </w:tcBorders>
            <w:shd w:val="clear" w:color="auto" w:fill="auto"/>
            <w:vAlign w:val="center"/>
            <w:hideMark/>
          </w:tcPr>
          <w:p w14:paraId="22F11721"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c>
          <w:tcPr>
            <w:tcW w:w="1376" w:type="dxa"/>
            <w:tcBorders>
              <w:top w:val="nil"/>
              <w:bottom w:val="nil"/>
            </w:tcBorders>
            <w:shd w:val="clear" w:color="auto" w:fill="auto"/>
            <w:vAlign w:val="center"/>
            <w:hideMark/>
          </w:tcPr>
          <w:p w14:paraId="16111346"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c>
          <w:tcPr>
            <w:tcW w:w="1376" w:type="dxa"/>
            <w:tcBorders>
              <w:top w:val="nil"/>
              <w:bottom w:val="nil"/>
            </w:tcBorders>
            <w:shd w:val="clear" w:color="auto" w:fill="auto"/>
            <w:vAlign w:val="center"/>
          </w:tcPr>
          <w:p w14:paraId="281D2671"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r>
      <w:tr w:rsidR="009F4590" w:rsidRPr="000E59A5" w14:paraId="337384E1" w14:textId="77777777" w:rsidTr="000E59A5">
        <w:trPr>
          <w:trHeight w:val="142"/>
          <w:jc w:val="center"/>
        </w:trPr>
        <w:tc>
          <w:tcPr>
            <w:tcW w:w="3161" w:type="dxa"/>
            <w:vMerge/>
            <w:tcBorders>
              <w:top w:val="nil"/>
              <w:bottom w:val="single" w:sz="4" w:space="0" w:color="auto"/>
            </w:tcBorders>
            <w:shd w:val="clear" w:color="auto" w:fill="auto"/>
            <w:vAlign w:val="center"/>
            <w:hideMark/>
          </w:tcPr>
          <w:p w14:paraId="3EC6D8D2" w14:textId="77777777" w:rsidR="009F4590" w:rsidRPr="000E59A5" w:rsidRDefault="009F4590" w:rsidP="009F4590">
            <w:pPr>
              <w:rPr>
                <w:rFonts w:ascii="Times New Roman" w:hAnsi="Times New Roman"/>
                <w:sz w:val="24"/>
                <w:szCs w:val="24"/>
              </w:rPr>
            </w:pPr>
          </w:p>
        </w:tc>
        <w:tc>
          <w:tcPr>
            <w:tcW w:w="2476" w:type="dxa"/>
            <w:tcBorders>
              <w:top w:val="nil"/>
              <w:bottom w:val="single" w:sz="4" w:space="0" w:color="auto"/>
            </w:tcBorders>
            <w:shd w:val="clear" w:color="auto" w:fill="auto"/>
            <w:vAlign w:val="center"/>
            <w:hideMark/>
          </w:tcPr>
          <w:p w14:paraId="6D78BA77"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c>
          <w:tcPr>
            <w:tcW w:w="1376" w:type="dxa"/>
            <w:tcBorders>
              <w:top w:val="nil"/>
              <w:bottom w:val="single" w:sz="4" w:space="0" w:color="auto"/>
            </w:tcBorders>
            <w:shd w:val="clear" w:color="auto" w:fill="auto"/>
            <w:vAlign w:val="center"/>
            <w:hideMark/>
          </w:tcPr>
          <w:p w14:paraId="4B966C27"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c>
          <w:tcPr>
            <w:tcW w:w="1376" w:type="dxa"/>
            <w:tcBorders>
              <w:top w:val="nil"/>
              <w:bottom w:val="single" w:sz="4" w:space="0" w:color="auto"/>
            </w:tcBorders>
            <w:shd w:val="clear" w:color="auto" w:fill="auto"/>
            <w:vAlign w:val="center"/>
          </w:tcPr>
          <w:p w14:paraId="64BFF6FF"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r>
      <w:tr w:rsidR="009F4590" w:rsidRPr="000E59A5" w14:paraId="64B6F8F9" w14:textId="77777777" w:rsidTr="000E59A5">
        <w:trPr>
          <w:trHeight w:val="277"/>
          <w:jc w:val="center"/>
        </w:trPr>
        <w:tc>
          <w:tcPr>
            <w:tcW w:w="3161" w:type="dxa"/>
            <w:vMerge w:val="restart"/>
            <w:tcBorders>
              <w:top w:val="single" w:sz="4" w:space="0" w:color="auto"/>
              <w:bottom w:val="nil"/>
            </w:tcBorders>
            <w:shd w:val="clear" w:color="auto" w:fill="auto"/>
            <w:vAlign w:val="center"/>
          </w:tcPr>
          <w:p w14:paraId="71BD8952"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entry 4</w:t>
            </w:r>
          </w:p>
        </w:tc>
        <w:tc>
          <w:tcPr>
            <w:tcW w:w="2476" w:type="dxa"/>
            <w:tcBorders>
              <w:top w:val="single" w:sz="4" w:space="0" w:color="auto"/>
              <w:bottom w:val="nil"/>
            </w:tcBorders>
            <w:shd w:val="clear" w:color="auto" w:fill="auto"/>
            <w:vAlign w:val="center"/>
          </w:tcPr>
          <w:p w14:paraId="0F4A09F9"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c>
          <w:tcPr>
            <w:tcW w:w="1376" w:type="dxa"/>
            <w:tcBorders>
              <w:top w:val="single" w:sz="4" w:space="0" w:color="auto"/>
              <w:bottom w:val="nil"/>
            </w:tcBorders>
            <w:shd w:val="clear" w:color="auto" w:fill="auto"/>
            <w:vAlign w:val="center"/>
          </w:tcPr>
          <w:p w14:paraId="266D609D"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c>
          <w:tcPr>
            <w:tcW w:w="1376" w:type="dxa"/>
            <w:tcBorders>
              <w:top w:val="single" w:sz="4" w:space="0" w:color="auto"/>
              <w:bottom w:val="nil"/>
            </w:tcBorders>
            <w:shd w:val="clear" w:color="auto" w:fill="auto"/>
            <w:vAlign w:val="center"/>
          </w:tcPr>
          <w:p w14:paraId="4D2021A1"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r>
      <w:tr w:rsidR="009F4590" w:rsidRPr="000E59A5" w14:paraId="20425DB7" w14:textId="77777777" w:rsidTr="000E59A5">
        <w:trPr>
          <w:trHeight w:val="142"/>
          <w:jc w:val="center"/>
        </w:trPr>
        <w:tc>
          <w:tcPr>
            <w:tcW w:w="3161" w:type="dxa"/>
            <w:vMerge/>
            <w:tcBorders>
              <w:top w:val="nil"/>
              <w:bottom w:val="single" w:sz="4" w:space="0" w:color="auto"/>
            </w:tcBorders>
            <w:shd w:val="clear" w:color="auto" w:fill="auto"/>
            <w:vAlign w:val="center"/>
          </w:tcPr>
          <w:p w14:paraId="5A7A6057" w14:textId="77777777" w:rsidR="009F4590" w:rsidRPr="000E59A5" w:rsidRDefault="009F4590" w:rsidP="009F4590">
            <w:pPr>
              <w:rPr>
                <w:rFonts w:ascii="Times New Roman" w:hAnsi="Times New Roman"/>
                <w:sz w:val="24"/>
                <w:szCs w:val="24"/>
              </w:rPr>
            </w:pPr>
          </w:p>
        </w:tc>
        <w:tc>
          <w:tcPr>
            <w:tcW w:w="2476" w:type="dxa"/>
            <w:tcBorders>
              <w:top w:val="nil"/>
              <w:bottom w:val="single" w:sz="4" w:space="0" w:color="auto"/>
            </w:tcBorders>
            <w:shd w:val="clear" w:color="auto" w:fill="auto"/>
            <w:vAlign w:val="center"/>
          </w:tcPr>
          <w:p w14:paraId="23CEDB6C"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c>
          <w:tcPr>
            <w:tcW w:w="1376" w:type="dxa"/>
            <w:tcBorders>
              <w:top w:val="nil"/>
              <w:bottom w:val="single" w:sz="4" w:space="0" w:color="auto"/>
            </w:tcBorders>
            <w:shd w:val="clear" w:color="auto" w:fill="auto"/>
            <w:vAlign w:val="center"/>
          </w:tcPr>
          <w:p w14:paraId="51C494B3"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c>
          <w:tcPr>
            <w:tcW w:w="1376" w:type="dxa"/>
            <w:tcBorders>
              <w:top w:val="nil"/>
              <w:bottom w:val="single" w:sz="4" w:space="0" w:color="auto"/>
            </w:tcBorders>
            <w:shd w:val="clear" w:color="auto" w:fill="auto"/>
            <w:vAlign w:val="center"/>
          </w:tcPr>
          <w:p w14:paraId="7D898864" w14:textId="77777777" w:rsidR="009F4590" w:rsidRPr="000E59A5" w:rsidRDefault="009F4590" w:rsidP="009F4590">
            <w:pPr>
              <w:rPr>
                <w:rFonts w:ascii="Times New Roman" w:hAnsi="Times New Roman"/>
                <w:sz w:val="24"/>
                <w:szCs w:val="24"/>
              </w:rPr>
            </w:pPr>
            <w:r w:rsidRPr="000E59A5">
              <w:rPr>
                <w:rFonts w:ascii="Times New Roman" w:hAnsi="Times New Roman"/>
                <w:sz w:val="24"/>
                <w:szCs w:val="24"/>
              </w:rPr>
              <w:t>data</w:t>
            </w:r>
          </w:p>
        </w:tc>
      </w:tr>
    </w:tbl>
    <w:p w14:paraId="2D11F2D9" w14:textId="74B0C7B0" w:rsidR="009F4590" w:rsidRPr="000E59A5" w:rsidRDefault="009F4590" w:rsidP="00014880">
      <w:pPr>
        <w:spacing w:after="240"/>
        <w:rPr>
          <w:rFonts w:ascii="Times New Roman" w:hAnsi="Times New Roman"/>
          <w:sz w:val="24"/>
          <w:szCs w:val="24"/>
        </w:rPr>
      </w:pPr>
      <w:r w:rsidRPr="000E59A5">
        <w:rPr>
          <w:rFonts w:ascii="Times New Roman" w:hAnsi="Times New Roman"/>
          <w:sz w:val="24"/>
          <w:szCs w:val="24"/>
        </w:rPr>
        <w:t>* Tables may have a footer.</w:t>
      </w:r>
    </w:p>
    <w:p w14:paraId="0EEE6371" w14:textId="77777777" w:rsidR="00D73BE3" w:rsidRPr="000E59A5" w:rsidRDefault="00D73BE3" w:rsidP="00D73BE3">
      <w:pPr>
        <w:spacing w:after="240"/>
        <w:rPr>
          <w:rFonts w:ascii="Times New Roman" w:hAnsi="Times New Roman"/>
          <w:sz w:val="24"/>
          <w:szCs w:val="24"/>
        </w:rPr>
      </w:pPr>
      <w:r w:rsidRPr="000E59A5">
        <w:rPr>
          <w:rFonts w:ascii="Times New Roman" w:hAnsi="Times New Roman"/>
          <w:sz w:val="24"/>
          <w:szCs w:val="24"/>
        </w:rPr>
        <w:t xml:space="preserve">Displayed equations are centered and set on a separate line. </w:t>
      </w:r>
    </w:p>
    <w:p w14:paraId="1EDE7FCC" w14:textId="3E3949C5" w:rsidR="00D73BE3" w:rsidRPr="000E59A5" w:rsidRDefault="00D73BE3" w:rsidP="00D73BE3">
      <w:pPr>
        <w:spacing w:after="240"/>
        <w:jc w:val="center"/>
        <w:rPr>
          <w:rFonts w:ascii="Times New Roman" w:hAnsi="Times New Roman"/>
          <w:sz w:val="24"/>
          <w:szCs w:val="24"/>
        </w:rPr>
      </w:pPr>
      <w:r w:rsidRPr="000E59A5">
        <w:rPr>
          <w:rFonts w:ascii="Times New Roman" w:hAnsi="Times New Roman"/>
          <w:sz w:val="24"/>
          <w:szCs w:val="24"/>
        </w:rPr>
        <w:lastRenderedPageBreak/>
        <w:t>x + y = z</w:t>
      </w:r>
    </w:p>
    <w:p w14:paraId="6A8543E1" w14:textId="19AEF82F" w:rsidR="009F4590" w:rsidRPr="000E59A5" w:rsidRDefault="009F4590" w:rsidP="00014880">
      <w:pPr>
        <w:jc w:val="center"/>
        <w:rPr>
          <w:rFonts w:ascii="Times New Roman" w:hAnsi="Times New Roman"/>
          <w:b/>
          <w:bCs/>
          <w:sz w:val="24"/>
          <w:szCs w:val="24"/>
        </w:rPr>
      </w:pPr>
      <w:r w:rsidRPr="000E59A5">
        <w:rPr>
          <w:rFonts w:ascii="Times New Roman" w:hAnsi="Times New Roman"/>
          <w:b/>
          <w:bCs/>
          <w:sz w:val="24"/>
          <w:szCs w:val="24"/>
        </w:rPr>
        <w:t>Conclusions</w:t>
      </w:r>
    </w:p>
    <w:p w14:paraId="1589F6BE" w14:textId="2DA73BB3" w:rsidR="009F4590" w:rsidRPr="000E59A5" w:rsidRDefault="009F4590" w:rsidP="009F4590">
      <w:pPr>
        <w:rPr>
          <w:rFonts w:ascii="Times New Roman" w:hAnsi="Times New Roman"/>
          <w:sz w:val="24"/>
          <w:szCs w:val="24"/>
        </w:rPr>
      </w:pPr>
      <w:r w:rsidRPr="000E59A5">
        <w:rPr>
          <w:rFonts w:ascii="Times New Roman" w:hAnsi="Times New Roman"/>
          <w:sz w:val="24"/>
          <w:szCs w:val="24"/>
        </w:rPr>
        <w:t xml:space="preserve">This section </w:t>
      </w:r>
      <w:r w:rsidR="00014880" w:rsidRPr="000E59A5">
        <w:rPr>
          <w:rFonts w:ascii="Times New Roman" w:hAnsi="Times New Roman"/>
          <w:sz w:val="24"/>
          <w:szCs w:val="24"/>
        </w:rPr>
        <w:t>should be conscise, not repeating the text from above and provide some recommendations for further studies, as well as present limitations of the study.</w:t>
      </w:r>
    </w:p>
    <w:p w14:paraId="68CB8EFE" w14:textId="77777777" w:rsidR="009F4590" w:rsidRPr="000E59A5" w:rsidRDefault="009F4590" w:rsidP="008F44B9">
      <w:pPr>
        <w:jc w:val="center"/>
        <w:rPr>
          <w:rFonts w:ascii="Times New Roman" w:hAnsi="Times New Roman"/>
          <w:b/>
          <w:bCs/>
          <w:sz w:val="24"/>
          <w:szCs w:val="24"/>
        </w:rPr>
      </w:pPr>
      <w:r w:rsidRPr="000E59A5">
        <w:rPr>
          <w:rFonts w:ascii="Times New Roman" w:hAnsi="Times New Roman"/>
          <w:b/>
          <w:bCs/>
          <w:sz w:val="24"/>
          <w:szCs w:val="24"/>
        </w:rPr>
        <w:t>References</w:t>
      </w:r>
    </w:p>
    <w:p w14:paraId="15C7971C" w14:textId="3B3DE2D8" w:rsidR="00BC324F" w:rsidRPr="000E59A5" w:rsidRDefault="00BC324F" w:rsidP="009F4590">
      <w:pPr>
        <w:rPr>
          <w:rFonts w:ascii="Times New Roman" w:hAnsi="Times New Roman"/>
          <w:sz w:val="24"/>
          <w:szCs w:val="24"/>
        </w:rPr>
      </w:pPr>
      <w:bookmarkStart w:id="0" w:name="OLE_LINK3"/>
      <w:r w:rsidRPr="000E59A5">
        <w:rPr>
          <w:rFonts w:ascii="Times New Roman" w:hAnsi="Times New Roman"/>
          <w:sz w:val="24"/>
          <w:szCs w:val="24"/>
        </w:rPr>
        <w:t>References in the text should be cited as follows</w:t>
      </w:r>
      <w:r w:rsidR="000F41F3" w:rsidRPr="000E59A5">
        <w:rPr>
          <w:rFonts w:ascii="Times New Roman" w:hAnsi="Times New Roman"/>
          <w:sz w:val="24"/>
          <w:szCs w:val="24"/>
        </w:rPr>
        <w:t>:</w:t>
      </w:r>
      <w:r w:rsidRPr="000E59A5">
        <w:rPr>
          <w:rFonts w:ascii="Times New Roman" w:hAnsi="Times New Roman"/>
          <w:sz w:val="24"/>
          <w:szCs w:val="24"/>
        </w:rPr>
        <w:t xml:space="preserve"> </w:t>
      </w:r>
    </w:p>
    <w:sdt>
      <w:sdtPr>
        <w:rPr>
          <w:rFonts w:ascii="Times New Roman" w:hAnsi="Times New Roman"/>
          <w:sz w:val="24"/>
          <w:szCs w:val="24"/>
        </w:rPr>
        <w:tag w:val="MENDELEY_BIBLIOGRAPHY"/>
        <w:id w:val="237217573"/>
        <w:placeholder>
          <w:docPart w:val="DefaultPlaceholder_-1854013440"/>
        </w:placeholder>
      </w:sdtPr>
      <w:sdtContent>
        <w:p w14:paraId="3677D33D" w14:textId="77777777" w:rsidR="006C3149" w:rsidRPr="000E59A5" w:rsidRDefault="006C3149">
          <w:pPr>
            <w:autoSpaceDE w:val="0"/>
            <w:autoSpaceDN w:val="0"/>
            <w:ind w:hanging="480"/>
            <w:divId w:val="1811434967"/>
            <w:rPr>
              <w:rFonts w:ascii="Times New Roman" w:eastAsia="Times New Roman" w:hAnsi="Times New Roman"/>
              <w:sz w:val="24"/>
              <w:szCs w:val="24"/>
            </w:rPr>
          </w:pPr>
          <w:r w:rsidRPr="000E59A5">
            <w:rPr>
              <w:rFonts w:ascii="Times New Roman" w:eastAsia="Times New Roman" w:hAnsi="Times New Roman"/>
              <w:sz w:val="24"/>
              <w:szCs w:val="24"/>
            </w:rPr>
            <w:t xml:space="preserve">Mujčinović, A., Nikolić, A., Tuna, E., Stamenkovska, I. J., Radović, V., Flynn, P., &amp; McCauley, V. (2021). Is it possible to tackle youth needs with agricultural and rural development policies? </w:t>
          </w:r>
          <w:r w:rsidRPr="000E59A5">
            <w:rPr>
              <w:rFonts w:ascii="Times New Roman" w:eastAsia="Times New Roman" w:hAnsi="Times New Roman"/>
              <w:i/>
              <w:iCs/>
              <w:sz w:val="24"/>
              <w:szCs w:val="24"/>
            </w:rPr>
            <w:t>Sustainability (Switzerland)</w:t>
          </w:r>
          <w:r w:rsidRPr="000E59A5">
            <w:rPr>
              <w:rFonts w:ascii="Times New Roman" w:eastAsia="Times New Roman" w:hAnsi="Times New Roman"/>
              <w:sz w:val="24"/>
              <w:szCs w:val="24"/>
            </w:rPr>
            <w:t xml:space="preserve">, </w:t>
          </w:r>
          <w:r w:rsidRPr="000E59A5">
            <w:rPr>
              <w:rFonts w:ascii="Times New Roman" w:eastAsia="Times New Roman" w:hAnsi="Times New Roman"/>
              <w:i/>
              <w:iCs/>
              <w:sz w:val="24"/>
              <w:szCs w:val="24"/>
            </w:rPr>
            <w:t>13</w:t>
          </w:r>
          <w:r w:rsidRPr="000E59A5">
            <w:rPr>
              <w:rFonts w:ascii="Times New Roman" w:eastAsia="Times New Roman" w:hAnsi="Times New Roman"/>
              <w:sz w:val="24"/>
              <w:szCs w:val="24"/>
            </w:rPr>
            <w:t>(15). https://doi.org/10.3390/su13158410</w:t>
          </w:r>
        </w:p>
        <w:p w14:paraId="2DEF9929" w14:textId="77777777" w:rsidR="006C3149" w:rsidRPr="000E59A5" w:rsidRDefault="006C3149">
          <w:pPr>
            <w:autoSpaceDE w:val="0"/>
            <w:autoSpaceDN w:val="0"/>
            <w:ind w:hanging="480"/>
            <w:divId w:val="1129476117"/>
            <w:rPr>
              <w:rFonts w:ascii="Times New Roman" w:eastAsia="Times New Roman" w:hAnsi="Times New Roman"/>
              <w:sz w:val="24"/>
              <w:szCs w:val="24"/>
            </w:rPr>
          </w:pPr>
          <w:r w:rsidRPr="000E59A5">
            <w:rPr>
              <w:rFonts w:ascii="Times New Roman" w:eastAsia="Times New Roman" w:hAnsi="Times New Roman"/>
              <w:sz w:val="24"/>
              <w:szCs w:val="24"/>
            </w:rPr>
            <w:t xml:space="preserve">Puigdueta, I., Aguilera, E., Cruz, J. L., Iglesias, A., &amp; Sanz-Cobena, A. (2021). Urban agriculture may change food consumption towards low carbon diets. </w:t>
          </w:r>
          <w:r w:rsidRPr="000E59A5">
            <w:rPr>
              <w:rFonts w:ascii="Times New Roman" w:eastAsia="Times New Roman" w:hAnsi="Times New Roman"/>
              <w:i/>
              <w:iCs/>
              <w:sz w:val="24"/>
              <w:szCs w:val="24"/>
            </w:rPr>
            <w:t>Global Food Security</w:t>
          </w:r>
          <w:r w:rsidRPr="000E59A5">
            <w:rPr>
              <w:rFonts w:ascii="Times New Roman" w:eastAsia="Times New Roman" w:hAnsi="Times New Roman"/>
              <w:sz w:val="24"/>
              <w:szCs w:val="24"/>
            </w:rPr>
            <w:t xml:space="preserve">, </w:t>
          </w:r>
          <w:r w:rsidRPr="000E59A5">
            <w:rPr>
              <w:rFonts w:ascii="Times New Roman" w:eastAsia="Times New Roman" w:hAnsi="Times New Roman"/>
              <w:i/>
              <w:iCs/>
              <w:sz w:val="24"/>
              <w:szCs w:val="24"/>
            </w:rPr>
            <w:t>28</w:t>
          </w:r>
          <w:r w:rsidRPr="000E59A5">
            <w:rPr>
              <w:rFonts w:ascii="Times New Roman" w:eastAsia="Times New Roman" w:hAnsi="Times New Roman"/>
              <w:sz w:val="24"/>
              <w:szCs w:val="24"/>
            </w:rPr>
            <w:t>. https://doi.org/10.1016/j.gfs.2021.100507</w:t>
          </w:r>
        </w:p>
        <w:p w14:paraId="5BD3971B" w14:textId="77777777" w:rsidR="006C3149" w:rsidRPr="000E59A5" w:rsidRDefault="006C3149">
          <w:pPr>
            <w:autoSpaceDE w:val="0"/>
            <w:autoSpaceDN w:val="0"/>
            <w:ind w:hanging="480"/>
            <w:divId w:val="1867135052"/>
            <w:rPr>
              <w:rFonts w:ascii="Times New Roman" w:eastAsia="Times New Roman" w:hAnsi="Times New Roman"/>
              <w:sz w:val="24"/>
              <w:szCs w:val="24"/>
            </w:rPr>
          </w:pPr>
          <w:r w:rsidRPr="000E59A5">
            <w:rPr>
              <w:rFonts w:ascii="Times New Roman" w:eastAsia="Times New Roman" w:hAnsi="Times New Roman"/>
              <w:sz w:val="24"/>
              <w:szCs w:val="24"/>
            </w:rPr>
            <w:t xml:space="preserve">White, J. (2011). Book Review: The SAGE Handbook of Qualitative Research. </w:t>
          </w:r>
          <w:r w:rsidRPr="000E59A5">
            <w:rPr>
              <w:rFonts w:ascii="Times New Roman" w:eastAsia="Times New Roman" w:hAnsi="Times New Roman"/>
              <w:i/>
              <w:iCs/>
              <w:sz w:val="24"/>
              <w:szCs w:val="24"/>
            </w:rPr>
            <w:t>Evaluation Journal of Australasia</w:t>
          </w:r>
          <w:r w:rsidRPr="000E59A5">
            <w:rPr>
              <w:rFonts w:ascii="Times New Roman" w:eastAsia="Times New Roman" w:hAnsi="Times New Roman"/>
              <w:sz w:val="24"/>
              <w:szCs w:val="24"/>
            </w:rPr>
            <w:t xml:space="preserve">, </w:t>
          </w:r>
          <w:r w:rsidRPr="000E59A5">
            <w:rPr>
              <w:rFonts w:ascii="Times New Roman" w:eastAsia="Times New Roman" w:hAnsi="Times New Roman"/>
              <w:i/>
              <w:iCs/>
              <w:sz w:val="24"/>
              <w:szCs w:val="24"/>
            </w:rPr>
            <w:t>11</w:t>
          </w:r>
          <w:r w:rsidRPr="000E59A5">
            <w:rPr>
              <w:rFonts w:ascii="Times New Roman" w:eastAsia="Times New Roman" w:hAnsi="Times New Roman"/>
              <w:sz w:val="24"/>
              <w:szCs w:val="24"/>
            </w:rPr>
            <w:t>(2), 52–53. https://doi.org/10.1177/1035719x1101100208</w:t>
          </w:r>
        </w:p>
        <w:p w14:paraId="13E9B811" w14:textId="5F58BF26" w:rsidR="00532BD2" w:rsidRPr="000E59A5" w:rsidRDefault="006C3149" w:rsidP="009F4590">
          <w:pPr>
            <w:rPr>
              <w:rFonts w:ascii="Times New Roman" w:hAnsi="Times New Roman"/>
              <w:sz w:val="24"/>
              <w:szCs w:val="24"/>
            </w:rPr>
          </w:pPr>
          <w:r w:rsidRPr="000E59A5">
            <w:rPr>
              <w:rFonts w:ascii="Times New Roman" w:eastAsia="Times New Roman" w:hAnsi="Times New Roman"/>
              <w:sz w:val="24"/>
              <w:szCs w:val="24"/>
            </w:rPr>
            <w:t> </w:t>
          </w:r>
        </w:p>
      </w:sdtContent>
    </w:sdt>
    <w:p w14:paraId="4236D9F5" w14:textId="77777777" w:rsidR="0063632D" w:rsidRPr="000E59A5" w:rsidRDefault="0063632D" w:rsidP="009F4590">
      <w:pPr>
        <w:rPr>
          <w:rFonts w:ascii="Times New Roman" w:hAnsi="Times New Roman"/>
          <w:sz w:val="24"/>
          <w:szCs w:val="24"/>
        </w:rPr>
      </w:pPr>
    </w:p>
    <w:p w14:paraId="64399A69" w14:textId="3F2999E7" w:rsidR="009F4590" w:rsidRPr="000E59A5" w:rsidRDefault="00BC324F" w:rsidP="009F4590">
      <w:pPr>
        <w:rPr>
          <w:rFonts w:ascii="Times New Roman" w:hAnsi="Times New Roman"/>
          <w:sz w:val="24"/>
          <w:szCs w:val="24"/>
        </w:rPr>
      </w:pPr>
      <w:r w:rsidRPr="000E59A5">
        <w:rPr>
          <w:rFonts w:ascii="Times New Roman" w:hAnsi="Times New Roman"/>
          <w:sz w:val="24"/>
          <w:szCs w:val="24"/>
        </w:rPr>
        <w:t>In the list of references, paper should be</w:t>
      </w:r>
      <w:r w:rsidR="009F4590" w:rsidRPr="000E59A5">
        <w:rPr>
          <w:rFonts w:ascii="Times New Roman" w:hAnsi="Times New Roman"/>
          <w:sz w:val="24"/>
          <w:szCs w:val="24"/>
        </w:rPr>
        <w:t xml:space="preserve"> arranged in alphabetical order of the first author in the Reference list and listed individually at the end of the manuscript. We recommend preparing the references with a bibliography software package, such as EndNote, ReferenceManager or Zotero to avoid typing mistakes and duplicated references. Include the digital object identifier (DOI) for all references where available.</w:t>
      </w:r>
    </w:p>
    <w:bookmarkEnd w:id="0"/>
    <w:p w14:paraId="1C254486" w14:textId="34662349" w:rsidR="00C53259" w:rsidRPr="000E59A5" w:rsidRDefault="00014880" w:rsidP="00741EDE">
      <w:pPr>
        <w:rPr>
          <w:rFonts w:ascii="Times New Roman" w:hAnsi="Times New Roman"/>
          <w:sz w:val="24"/>
          <w:szCs w:val="24"/>
        </w:rPr>
      </w:pPr>
      <w:r w:rsidRPr="000E59A5">
        <w:rPr>
          <w:rFonts w:ascii="Times New Roman" w:hAnsi="Times New Roman"/>
          <w:sz w:val="24"/>
          <w:szCs w:val="24"/>
        </w:rPr>
        <w:t>APA 6 citation style recommended.</w:t>
      </w:r>
    </w:p>
    <w:p w14:paraId="4D646FD3" w14:textId="29E91277" w:rsidR="00741EDE" w:rsidRPr="000E59A5" w:rsidRDefault="00741EDE" w:rsidP="00E30897">
      <w:pPr>
        <w:rPr>
          <w:rFonts w:ascii="Times New Roman" w:hAnsi="Times New Roman"/>
          <w:sz w:val="24"/>
          <w:szCs w:val="24"/>
        </w:rPr>
      </w:pPr>
    </w:p>
    <w:p w14:paraId="6D761F11" w14:textId="5B5D9664" w:rsidR="00741EDE" w:rsidRPr="000E59A5" w:rsidRDefault="00E30897" w:rsidP="004E2903">
      <w:pPr>
        <w:jc w:val="center"/>
        <w:rPr>
          <w:rFonts w:ascii="Times New Roman" w:hAnsi="Times New Roman"/>
          <w:b/>
          <w:bCs/>
          <w:sz w:val="24"/>
          <w:szCs w:val="24"/>
        </w:rPr>
      </w:pPr>
      <w:r w:rsidRPr="000E59A5">
        <w:rPr>
          <w:rFonts w:ascii="Times New Roman" w:hAnsi="Times New Roman"/>
          <w:b/>
          <w:bCs/>
          <w:sz w:val="24"/>
          <w:szCs w:val="24"/>
        </w:rPr>
        <w:t>Abstract on</w:t>
      </w:r>
      <w:r w:rsidR="00741EDE" w:rsidRPr="000E59A5">
        <w:rPr>
          <w:rFonts w:ascii="Times New Roman" w:hAnsi="Times New Roman"/>
          <w:b/>
          <w:bCs/>
          <w:sz w:val="24"/>
          <w:szCs w:val="24"/>
        </w:rPr>
        <w:t xml:space="preserve"> Bos</w:t>
      </w:r>
      <w:r w:rsidRPr="000E59A5">
        <w:rPr>
          <w:rFonts w:ascii="Times New Roman" w:hAnsi="Times New Roman"/>
          <w:b/>
          <w:bCs/>
          <w:sz w:val="24"/>
          <w:szCs w:val="24"/>
        </w:rPr>
        <w:t>nian</w:t>
      </w:r>
      <w:r w:rsidR="00741EDE" w:rsidRPr="000E59A5">
        <w:rPr>
          <w:rFonts w:ascii="Times New Roman" w:hAnsi="Times New Roman"/>
          <w:b/>
          <w:bCs/>
          <w:sz w:val="24"/>
          <w:szCs w:val="24"/>
        </w:rPr>
        <w:t>/</w:t>
      </w:r>
      <w:r w:rsidRPr="000E59A5">
        <w:rPr>
          <w:rFonts w:ascii="Times New Roman" w:hAnsi="Times New Roman"/>
          <w:b/>
          <w:bCs/>
          <w:sz w:val="24"/>
          <w:szCs w:val="24"/>
        </w:rPr>
        <w:t>Croatian</w:t>
      </w:r>
      <w:r w:rsidR="00741EDE" w:rsidRPr="000E59A5">
        <w:rPr>
          <w:rFonts w:ascii="Times New Roman" w:hAnsi="Times New Roman"/>
          <w:b/>
          <w:bCs/>
          <w:sz w:val="24"/>
          <w:szCs w:val="24"/>
        </w:rPr>
        <w:t>/S</w:t>
      </w:r>
      <w:r w:rsidRPr="000E59A5">
        <w:rPr>
          <w:rFonts w:ascii="Times New Roman" w:hAnsi="Times New Roman"/>
          <w:b/>
          <w:bCs/>
          <w:sz w:val="24"/>
          <w:szCs w:val="24"/>
        </w:rPr>
        <w:t>erbian</w:t>
      </w:r>
    </w:p>
    <w:sectPr w:rsidR="00741EDE" w:rsidRPr="000E59A5" w:rsidSect="009F48BF">
      <w:headerReference w:type="even" r:id="rId9"/>
      <w:headerReference w:type="default" r:id="rId10"/>
      <w:footerReference w:type="default" r:id="rId11"/>
      <w:headerReference w:type="first" r:id="rId12"/>
      <w:footerReference w:type="first" r:id="rId13"/>
      <w:pgSz w:w="9639" w:h="13608" w:code="13"/>
      <w:pgMar w:top="1418" w:right="720" w:bottom="1077" w:left="720" w:header="680" w:footer="284"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A764" w14:textId="77777777" w:rsidR="009F48BF" w:rsidRDefault="009F48BF" w:rsidP="009F4590">
      <w:pPr>
        <w:spacing w:line="240" w:lineRule="auto"/>
      </w:pPr>
      <w:r>
        <w:separator/>
      </w:r>
    </w:p>
  </w:endnote>
  <w:endnote w:type="continuationSeparator" w:id="0">
    <w:p w14:paraId="2E28170F" w14:textId="77777777" w:rsidR="009F48BF" w:rsidRDefault="009F48BF" w:rsidP="009F4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A1E7" w14:textId="77777777" w:rsidR="00014880" w:rsidRPr="005773E8" w:rsidRDefault="00014880" w:rsidP="00014880">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0570" w14:textId="77777777" w:rsidR="00014880" w:rsidRPr="001D2A08" w:rsidRDefault="00014880" w:rsidP="00014880">
    <w:pPr>
      <w:pBdr>
        <w:top w:val="single" w:sz="4" w:space="0" w:color="000000"/>
      </w:pBdr>
      <w:tabs>
        <w:tab w:val="right" w:pos="8844"/>
      </w:tabs>
      <w:adjustRightInd w:val="0"/>
      <w:snapToGrid w:val="0"/>
      <w:spacing w:before="480" w:line="100" w:lineRule="exact"/>
      <w:jc w:val="left"/>
      <w:rPr>
        <w:rFonts w:asciiTheme="minorHAnsi" w:hAnsiTheme="minorHAnsi" w:cstheme="minorHAnsi"/>
        <w:b/>
        <w:bCs/>
        <w:i/>
        <w:sz w:val="16"/>
        <w:szCs w:val="16"/>
        <w:lang w:val="it-IT"/>
      </w:rPr>
    </w:pPr>
  </w:p>
  <w:p w14:paraId="33D763A5" w14:textId="6A8E0E93" w:rsidR="00014880" w:rsidRPr="001D2A08" w:rsidRDefault="00014880" w:rsidP="00014880">
    <w:pPr>
      <w:tabs>
        <w:tab w:val="right" w:pos="10466"/>
      </w:tabs>
      <w:adjustRightInd w:val="0"/>
      <w:snapToGrid w:val="0"/>
      <w:spacing w:line="240" w:lineRule="auto"/>
      <w:rPr>
        <w:rFonts w:asciiTheme="minorHAnsi" w:hAnsiTheme="minorHAnsi" w:cstheme="minorHAnsi"/>
        <w:b/>
        <w:bCs/>
        <w:sz w:val="16"/>
        <w:szCs w:val="16"/>
        <w:lang w:val="fr-CH"/>
      </w:rPr>
    </w:pPr>
    <w:r w:rsidRPr="001D2A08">
      <w:rPr>
        <w:rFonts w:asciiTheme="minorHAnsi" w:hAnsiTheme="minorHAnsi" w:cstheme="minorHAnsi"/>
        <w:b/>
        <w:bCs/>
        <w:sz w:val="16"/>
        <w:szCs w:val="16"/>
        <w:lang w:val="fr-CH"/>
      </w:rPr>
      <w:tab/>
      <w:t>https://radovi.ppf.unsa.ba/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C593A" w14:textId="77777777" w:rsidR="009F48BF" w:rsidRDefault="009F48BF" w:rsidP="009F4590">
      <w:pPr>
        <w:spacing w:line="240" w:lineRule="auto"/>
      </w:pPr>
      <w:r>
        <w:separator/>
      </w:r>
    </w:p>
  </w:footnote>
  <w:footnote w:type="continuationSeparator" w:id="0">
    <w:p w14:paraId="00358F8F" w14:textId="77777777" w:rsidR="009F48BF" w:rsidRDefault="009F48BF" w:rsidP="009F45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EDF9" w14:textId="77777777" w:rsidR="00014880" w:rsidRDefault="00014880" w:rsidP="0001488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2FFA" w14:textId="51C52B85" w:rsidR="00014880" w:rsidRDefault="00014880" w:rsidP="00014880">
    <w:pPr>
      <w:tabs>
        <w:tab w:val="right" w:pos="10466"/>
      </w:tabs>
      <w:adjustRightInd w:val="0"/>
      <w:snapToGrid w:val="0"/>
      <w:spacing w:line="240" w:lineRule="auto"/>
      <w:rPr>
        <w:sz w:val="16"/>
      </w:rPr>
    </w:pPr>
    <w:r>
      <w:rPr>
        <w:sz w:val="16"/>
      </w:rPr>
      <w:tab/>
    </w:r>
    <w:r>
      <w:rPr>
        <w:sz w:val="16"/>
      </w:rPr>
      <w:fldChar w:fldCharType="begin"/>
    </w:r>
    <w:r>
      <w:rPr>
        <w:sz w:val="16"/>
      </w:rPr>
      <w:instrText xml:space="preserve"> PAGE   \* MERGEFORMAT </w:instrText>
    </w:r>
    <w:r>
      <w:rPr>
        <w:sz w:val="16"/>
      </w:rPr>
      <w:fldChar w:fldCharType="separate"/>
    </w:r>
    <w:r w:rsidR="00BC324F">
      <w:rPr>
        <w:sz w:val="16"/>
      </w:rPr>
      <w:t>2</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BC324F">
      <w:rPr>
        <w:sz w:val="16"/>
      </w:rPr>
      <w:t>2</w:t>
    </w:r>
    <w:r>
      <w:rPr>
        <w:sz w:val="16"/>
      </w:rPr>
      <w:fldChar w:fldCharType="end"/>
    </w:r>
  </w:p>
  <w:p w14:paraId="0DEC55BA" w14:textId="77777777" w:rsidR="00014880" w:rsidRPr="00FB3B38" w:rsidRDefault="00014880" w:rsidP="00014880">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5A28" w14:textId="61022198" w:rsidR="00014880" w:rsidRPr="00176F16" w:rsidRDefault="00176F16" w:rsidP="00176F16">
    <w:pPr>
      <w:pStyle w:val="Header"/>
      <w:jc w:val="left"/>
      <w:rPr>
        <w:rFonts w:asciiTheme="minorHAnsi" w:hAnsiTheme="minorHAnsi" w:cstheme="minorHAnsi"/>
        <w:b/>
        <w:bCs/>
        <w:i/>
        <w:iCs/>
        <w:sz w:val="16"/>
        <w:szCs w:val="14"/>
        <w:lang w:val="bs-Latn-BA"/>
      </w:rPr>
    </w:pPr>
    <w:r>
      <w:rPr>
        <w:rFonts w:asciiTheme="minorHAnsi" w:hAnsiTheme="minorHAnsi" w:cstheme="minorHAnsi"/>
        <w:b/>
        <w:bCs/>
        <w:i/>
        <w:iCs/>
        <w:sz w:val="16"/>
        <w:szCs w:val="14"/>
        <w:lang w:val="bs-Latn-BA"/>
      </w:rPr>
      <w:t>Author name, title of the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76E86"/>
    <w:multiLevelType w:val="hybridMultilevel"/>
    <w:tmpl w:val="5E3823D0"/>
    <w:lvl w:ilvl="0" w:tplc="F952580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73585586"/>
    <w:lvl w:ilvl="0" w:tplc="1CEAC364">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572825"/>
    <w:multiLevelType w:val="hybridMultilevel"/>
    <w:tmpl w:val="EED88E3C"/>
    <w:lvl w:ilvl="0" w:tplc="68D2DD1A">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num w:numId="1" w16cid:durableId="561789483">
    <w:abstractNumId w:val="1"/>
  </w:num>
  <w:num w:numId="2" w16cid:durableId="1125197234">
    <w:abstractNumId w:val="2"/>
  </w:num>
  <w:num w:numId="3" w16cid:durableId="2086144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0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zMzIzNzA0MTE3sTBV0lEKTi0uzszPAykwqgUAxCxxrywAAAA="/>
  </w:docVars>
  <w:rsids>
    <w:rsidRoot w:val="009F4590"/>
    <w:rsid w:val="00014880"/>
    <w:rsid w:val="000326BC"/>
    <w:rsid w:val="000E59A5"/>
    <w:rsid w:val="000F41F3"/>
    <w:rsid w:val="00125F81"/>
    <w:rsid w:val="001560C8"/>
    <w:rsid w:val="00164A16"/>
    <w:rsid w:val="00176F16"/>
    <w:rsid w:val="001D2A08"/>
    <w:rsid w:val="00276DC3"/>
    <w:rsid w:val="002B61A8"/>
    <w:rsid w:val="002C6CE1"/>
    <w:rsid w:val="002D7432"/>
    <w:rsid w:val="00382E32"/>
    <w:rsid w:val="00397577"/>
    <w:rsid w:val="003B34B7"/>
    <w:rsid w:val="003C1A24"/>
    <w:rsid w:val="003D7327"/>
    <w:rsid w:val="00471A7A"/>
    <w:rsid w:val="004E2903"/>
    <w:rsid w:val="004F0229"/>
    <w:rsid w:val="00532BD2"/>
    <w:rsid w:val="005A0E4E"/>
    <w:rsid w:val="005A695B"/>
    <w:rsid w:val="005D0092"/>
    <w:rsid w:val="00617598"/>
    <w:rsid w:val="0063632D"/>
    <w:rsid w:val="006C3149"/>
    <w:rsid w:val="006F3AA8"/>
    <w:rsid w:val="00741EDE"/>
    <w:rsid w:val="00784543"/>
    <w:rsid w:val="008037F1"/>
    <w:rsid w:val="00841DC4"/>
    <w:rsid w:val="008A6581"/>
    <w:rsid w:val="008C09B2"/>
    <w:rsid w:val="008D5F8D"/>
    <w:rsid w:val="008F44B9"/>
    <w:rsid w:val="0090342C"/>
    <w:rsid w:val="009F4590"/>
    <w:rsid w:val="009F48BF"/>
    <w:rsid w:val="00A01C35"/>
    <w:rsid w:val="00A442FD"/>
    <w:rsid w:val="00A9147F"/>
    <w:rsid w:val="00BC324F"/>
    <w:rsid w:val="00BC6DF2"/>
    <w:rsid w:val="00C13F99"/>
    <w:rsid w:val="00C43463"/>
    <w:rsid w:val="00C53259"/>
    <w:rsid w:val="00D0230B"/>
    <w:rsid w:val="00D051E9"/>
    <w:rsid w:val="00D41F17"/>
    <w:rsid w:val="00D51C0E"/>
    <w:rsid w:val="00D73BE3"/>
    <w:rsid w:val="00D82435"/>
    <w:rsid w:val="00E03E71"/>
    <w:rsid w:val="00E30897"/>
    <w:rsid w:val="00E71D1A"/>
    <w:rsid w:val="00F44ECE"/>
    <w:rsid w:val="00F82846"/>
    <w:rsid w:val="00FB7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355A0"/>
  <w15:chartTrackingRefBased/>
  <w15:docId w15:val="{203D6FF8-0A9A-49B8-B544-5152EDF9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90"/>
    <w:pPr>
      <w:spacing w:after="0" w:line="260" w:lineRule="atLeast"/>
      <w:jc w:val="both"/>
    </w:pPr>
    <w:rPr>
      <w:rFonts w:ascii="Palatino Linotype" w:eastAsia="SimSun" w:hAnsi="Palatino Linotype" w:cs="Times New Roman"/>
      <w:noProof/>
      <w:color w:val="000000"/>
      <w:sz w:val="20"/>
      <w:szCs w:val="20"/>
      <w:lang w:eastAsia="zh-CN"/>
    </w:rPr>
  </w:style>
  <w:style w:type="paragraph" w:styleId="Heading1">
    <w:name w:val="heading 1"/>
    <w:basedOn w:val="Normal"/>
    <w:next w:val="Normal"/>
    <w:link w:val="Heading1Char"/>
    <w:uiPriority w:val="9"/>
    <w:qFormat/>
    <w:rsid w:val="0063632D"/>
    <w:pPr>
      <w:keepNext/>
      <w:keepLines/>
      <w:spacing w:before="240" w:line="259" w:lineRule="auto"/>
      <w:jc w:val="left"/>
      <w:outlineLvl w:val="0"/>
    </w:pPr>
    <w:rPr>
      <w:rFonts w:asciiTheme="majorHAnsi" w:eastAsiaTheme="majorEastAsia" w:hAnsiTheme="majorHAnsi" w:cstheme="majorBidi"/>
      <w:noProof w:val="0"/>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9F4590"/>
    <w:pPr>
      <w:adjustRightInd w:val="0"/>
      <w:snapToGrid w:val="0"/>
      <w:spacing w:before="240" w:after="0" w:line="240" w:lineRule="auto"/>
    </w:pPr>
    <w:rPr>
      <w:rFonts w:ascii="Palatino Linotype" w:eastAsia="Times New Roman" w:hAnsi="Palatino Linotype" w:cs="Times New Roman"/>
      <w:i/>
      <w:snapToGrid w:val="0"/>
      <w:color w:val="000000"/>
      <w:sz w:val="20"/>
      <w:lang w:eastAsia="de-DE" w:bidi="en-US"/>
    </w:rPr>
  </w:style>
  <w:style w:type="paragraph" w:customStyle="1" w:styleId="MDPI12title">
    <w:name w:val="MDPI_1.2_title"/>
    <w:next w:val="Normal"/>
    <w:qFormat/>
    <w:rsid w:val="009F4590"/>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next w:val="Normal"/>
    <w:qFormat/>
    <w:rsid w:val="009F4590"/>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paragraph" w:customStyle="1" w:styleId="MDPI16affiliation">
    <w:name w:val="MDPI_1.6_affiliation"/>
    <w:qFormat/>
    <w:rsid w:val="009F4590"/>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MDPI17abstract">
    <w:name w:val="MDPI_1.7_abstract"/>
    <w:next w:val="Normal"/>
    <w:qFormat/>
    <w:rsid w:val="009F4590"/>
    <w:pPr>
      <w:adjustRightInd w:val="0"/>
      <w:snapToGrid w:val="0"/>
      <w:spacing w:before="240" w:after="0" w:line="260" w:lineRule="atLeast"/>
      <w:ind w:left="2608"/>
      <w:jc w:val="both"/>
    </w:pPr>
    <w:rPr>
      <w:rFonts w:ascii="Palatino Linotype" w:eastAsia="Times New Roman" w:hAnsi="Palatino Linotype" w:cs="Times New Roman"/>
      <w:color w:val="000000"/>
      <w:sz w:val="18"/>
      <w:lang w:eastAsia="de-DE" w:bidi="en-US"/>
    </w:rPr>
  </w:style>
  <w:style w:type="paragraph" w:customStyle="1" w:styleId="MDPI18keywords">
    <w:name w:val="MDPI_1.8_keywords"/>
    <w:next w:val="Normal"/>
    <w:qFormat/>
    <w:rsid w:val="009F4590"/>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eastAsia="de-DE" w:bidi="en-US"/>
    </w:rPr>
  </w:style>
  <w:style w:type="paragraph" w:styleId="Footer">
    <w:name w:val="footer"/>
    <w:basedOn w:val="Normal"/>
    <w:link w:val="FooterChar"/>
    <w:uiPriority w:val="99"/>
    <w:rsid w:val="009F4590"/>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9F4590"/>
    <w:rPr>
      <w:rFonts w:ascii="Palatino Linotype" w:eastAsia="SimSun" w:hAnsi="Palatino Linotype" w:cs="Times New Roman"/>
      <w:noProof/>
      <w:color w:val="000000"/>
      <w:sz w:val="20"/>
      <w:szCs w:val="18"/>
      <w:lang w:eastAsia="zh-CN"/>
    </w:rPr>
  </w:style>
  <w:style w:type="paragraph" w:styleId="Header">
    <w:name w:val="header"/>
    <w:basedOn w:val="Normal"/>
    <w:link w:val="HeaderChar"/>
    <w:uiPriority w:val="99"/>
    <w:rsid w:val="009F4590"/>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9F4590"/>
    <w:rPr>
      <w:rFonts w:ascii="Palatino Linotype" w:eastAsia="SimSun" w:hAnsi="Palatino Linotype" w:cs="Times New Roman"/>
      <w:noProof/>
      <w:color w:val="000000"/>
      <w:sz w:val="20"/>
      <w:szCs w:val="18"/>
      <w:lang w:eastAsia="zh-CN"/>
    </w:rPr>
  </w:style>
  <w:style w:type="paragraph" w:customStyle="1" w:styleId="MDPI32textnoindent">
    <w:name w:val="MDPI_3.2_text_no_indent"/>
    <w:basedOn w:val="MDPI31text"/>
    <w:qFormat/>
    <w:rsid w:val="009F4590"/>
    <w:pPr>
      <w:ind w:firstLine="0"/>
    </w:pPr>
  </w:style>
  <w:style w:type="paragraph" w:customStyle="1" w:styleId="MDPI31text">
    <w:name w:val="MDPI_3.1_text"/>
    <w:qFormat/>
    <w:rsid w:val="009F4590"/>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35textbeforelist">
    <w:name w:val="MDPI_3.5_text_before_list"/>
    <w:qFormat/>
    <w:rsid w:val="009F4590"/>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37itemize">
    <w:name w:val="MDPI_3.7_itemize"/>
    <w:qFormat/>
    <w:rsid w:val="009F4590"/>
    <w:pPr>
      <w:numPr>
        <w:numId w:val="1"/>
      </w:numPr>
      <w:adjustRightInd w:val="0"/>
      <w:snapToGrid w:val="0"/>
      <w:spacing w:after="0" w:line="228" w:lineRule="auto"/>
      <w:jc w:val="both"/>
    </w:pPr>
    <w:rPr>
      <w:rFonts w:ascii="Palatino Linotype" w:eastAsia="Times New Roman" w:hAnsi="Palatino Linotype" w:cs="Times New Roman"/>
      <w:color w:val="000000"/>
      <w:sz w:val="20"/>
      <w:lang w:eastAsia="de-DE" w:bidi="en-US"/>
    </w:rPr>
  </w:style>
  <w:style w:type="paragraph" w:customStyle="1" w:styleId="MDPI38bullet">
    <w:name w:val="MDPI_3.8_bullet"/>
    <w:qFormat/>
    <w:rsid w:val="009F4590"/>
    <w:pPr>
      <w:numPr>
        <w:numId w:val="2"/>
      </w:numPr>
      <w:adjustRightInd w:val="0"/>
      <w:snapToGrid w:val="0"/>
      <w:spacing w:after="0" w:line="228" w:lineRule="auto"/>
      <w:jc w:val="both"/>
    </w:pPr>
    <w:rPr>
      <w:rFonts w:ascii="Palatino Linotype" w:eastAsia="Times New Roman" w:hAnsi="Palatino Linotype" w:cs="Times New Roman"/>
      <w:color w:val="000000"/>
      <w:sz w:val="20"/>
      <w:lang w:eastAsia="de-DE" w:bidi="en-US"/>
    </w:rPr>
  </w:style>
  <w:style w:type="paragraph" w:customStyle="1" w:styleId="MDPI39equation">
    <w:name w:val="MDPI_3.9_equation"/>
    <w:qFormat/>
    <w:rsid w:val="009F4590"/>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eastAsia="de-DE" w:bidi="en-US"/>
    </w:rPr>
  </w:style>
  <w:style w:type="paragraph" w:customStyle="1" w:styleId="MDPI3aequationnumber">
    <w:name w:val="MDPI_3.a_equation_number"/>
    <w:qFormat/>
    <w:rsid w:val="009F4590"/>
    <w:pPr>
      <w:spacing w:before="120" w:after="120" w:line="240" w:lineRule="auto"/>
      <w:jc w:val="right"/>
    </w:pPr>
    <w:rPr>
      <w:rFonts w:ascii="Palatino Linotype" w:eastAsia="Times New Roman" w:hAnsi="Palatino Linotype" w:cs="Times New Roman"/>
      <w:snapToGrid w:val="0"/>
      <w:color w:val="000000"/>
      <w:sz w:val="20"/>
      <w:lang w:eastAsia="de-DE" w:bidi="en-US"/>
    </w:rPr>
  </w:style>
  <w:style w:type="paragraph" w:customStyle="1" w:styleId="MDPI41tablecaption">
    <w:name w:val="MDPI_4.1_table_caption"/>
    <w:qFormat/>
    <w:rsid w:val="009F4590"/>
    <w:pPr>
      <w:adjustRightInd w:val="0"/>
      <w:snapToGrid w:val="0"/>
      <w:spacing w:before="240" w:after="120" w:line="228" w:lineRule="auto"/>
      <w:ind w:left="2608"/>
      <w:jc w:val="both"/>
    </w:pPr>
    <w:rPr>
      <w:rFonts w:ascii="Palatino Linotype" w:eastAsia="Times New Roman" w:hAnsi="Palatino Linotype" w:cs="Cordia New"/>
      <w:color w:val="000000"/>
      <w:sz w:val="18"/>
      <w:lang w:eastAsia="de-DE" w:bidi="en-US"/>
    </w:rPr>
  </w:style>
  <w:style w:type="paragraph" w:customStyle="1" w:styleId="MDPI42tablebody">
    <w:name w:val="MDPI_4.2_table_body"/>
    <w:qFormat/>
    <w:rsid w:val="009F4590"/>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43tablefooter">
    <w:name w:val="MDPI_4.3_table_footer"/>
    <w:next w:val="MDPI31text"/>
    <w:qFormat/>
    <w:rsid w:val="009F4590"/>
    <w:pPr>
      <w:adjustRightInd w:val="0"/>
      <w:snapToGrid w:val="0"/>
      <w:spacing w:after="0" w:line="228" w:lineRule="auto"/>
      <w:ind w:left="2608"/>
      <w:jc w:val="both"/>
    </w:pPr>
    <w:rPr>
      <w:rFonts w:ascii="Palatino Linotype" w:eastAsia="Times New Roman" w:hAnsi="Palatino Linotype" w:cs="Cordia New"/>
      <w:color w:val="000000"/>
      <w:sz w:val="18"/>
      <w:lang w:eastAsia="de-DE" w:bidi="en-US"/>
    </w:rPr>
  </w:style>
  <w:style w:type="paragraph" w:customStyle="1" w:styleId="MDPI51figurecaption">
    <w:name w:val="MDPI_5.1_figure_caption"/>
    <w:qFormat/>
    <w:rsid w:val="009F4590"/>
    <w:pPr>
      <w:adjustRightInd w:val="0"/>
      <w:snapToGrid w:val="0"/>
      <w:spacing w:before="120" w:after="240" w:line="228" w:lineRule="auto"/>
      <w:ind w:left="2608"/>
      <w:jc w:val="both"/>
    </w:pPr>
    <w:rPr>
      <w:rFonts w:ascii="Palatino Linotype" w:eastAsia="Times New Roman" w:hAnsi="Palatino Linotype" w:cs="Times New Roman"/>
      <w:color w:val="000000"/>
      <w:sz w:val="18"/>
      <w:szCs w:val="20"/>
      <w:lang w:eastAsia="de-DE" w:bidi="en-US"/>
    </w:rPr>
  </w:style>
  <w:style w:type="paragraph" w:customStyle="1" w:styleId="MDPI52figure">
    <w:name w:val="MDPI_5.2_figure"/>
    <w:qFormat/>
    <w:rsid w:val="009F4590"/>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eastAsia="de-DE" w:bidi="en-US"/>
    </w:rPr>
  </w:style>
  <w:style w:type="paragraph" w:customStyle="1" w:styleId="MDPI81theorem">
    <w:name w:val="MDPI_8.1_theorem"/>
    <w:qFormat/>
    <w:rsid w:val="009F4590"/>
    <w:pPr>
      <w:adjustRightInd w:val="0"/>
      <w:snapToGrid w:val="0"/>
      <w:spacing w:after="0" w:line="228" w:lineRule="auto"/>
      <w:ind w:left="2608"/>
      <w:jc w:val="both"/>
    </w:pPr>
    <w:rPr>
      <w:rFonts w:ascii="Palatino Linotype" w:eastAsia="Times New Roman" w:hAnsi="Palatino Linotype" w:cs="Times New Roman"/>
      <w:i/>
      <w:snapToGrid w:val="0"/>
      <w:color w:val="000000"/>
      <w:sz w:val="20"/>
      <w:lang w:eastAsia="de-DE" w:bidi="en-US"/>
    </w:rPr>
  </w:style>
  <w:style w:type="paragraph" w:customStyle="1" w:styleId="MDPI82proof">
    <w:name w:val="MDPI_8.2_proof"/>
    <w:qFormat/>
    <w:rsid w:val="009F4590"/>
    <w:pPr>
      <w:adjustRightInd w:val="0"/>
      <w:snapToGrid w:val="0"/>
      <w:spacing w:after="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23heading3">
    <w:name w:val="MDPI_2.3_heading3"/>
    <w:qFormat/>
    <w:rsid w:val="009F4590"/>
    <w:pPr>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lang w:eastAsia="de-DE" w:bidi="en-US"/>
    </w:rPr>
  </w:style>
  <w:style w:type="paragraph" w:customStyle="1" w:styleId="MDPI21heading1">
    <w:name w:val="MDPI_2.1_heading1"/>
    <w:qFormat/>
    <w:rsid w:val="009F4590"/>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paragraph" w:customStyle="1" w:styleId="MDPI22heading2">
    <w:name w:val="MDPI_2.2_heading2"/>
    <w:qFormat/>
    <w:rsid w:val="009F4590"/>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eastAsia="de-DE" w:bidi="en-US"/>
    </w:rPr>
  </w:style>
  <w:style w:type="paragraph" w:customStyle="1" w:styleId="MDPI71References">
    <w:name w:val="MDPI_7.1_References"/>
    <w:qFormat/>
    <w:rsid w:val="009F4590"/>
    <w:pPr>
      <w:numPr>
        <w:numId w:val="3"/>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 w:type="character" w:styleId="LineNumber">
    <w:name w:val="line number"/>
    <w:basedOn w:val="DefaultParagraphFont"/>
    <w:uiPriority w:val="99"/>
    <w:semiHidden/>
    <w:unhideWhenUsed/>
    <w:rsid w:val="009F4590"/>
  </w:style>
  <w:style w:type="character" w:styleId="CommentReference">
    <w:name w:val="annotation reference"/>
    <w:basedOn w:val="DefaultParagraphFont"/>
    <w:uiPriority w:val="99"/>
    <w:semiHidden/>
    <w:unhideWhenUsed/>
    <w:rsid w:val="002B61A8"/>
    <w:rPr>
      <w:sz w:val="16"/>
      <w:szCs w:val="16"/>
    </w:rPr>
  </w:style>
  <w:style w:type="paragraph" w:styleId="CommentText">
    <w:name w:val="annotation text"/>
    <w:basedOn w:val="Normal"/>
    <w:link w:val="CommentTextChar"/>
    <w:uiPriority w:val="99"/>
    <w:unhideWhenUsed/>
    <w:rsid w:val="002B61A8"/>
    <w:pPr>
      <w:spacing w:line="240" w:lineRule="auto"/>
    </w:pPr>
  </w:style>
  <w:style w:type="character" w:customStyle="1" w:styleId="CommentTextChar">
    <w:name w:val="Comment Text Char"/>
    <w:basedOn w:val="DefaultParagraphFont"/>
    <w:link w:val="CommentText"/>
    <w:uiPriority w:val="99"/>
    <w:rsid w:val="002B61A8"/>
    <w:rPr>
      <w:rFonts w:ascii="Palatino Linotype" w:eastAsia="SimSun" w:hAnsi="Palatino Linotype" w:cs="Times New Roman"/>
      <w:noProof/>
      <w:color w:val="000000"/>
      <w:sz w:val="20"/>
      <w:szCs w:val="20"/>
      <w:lang w:eastAsia="zh-CN"/>
    </w:rPr>
  </w:style>
  <w:style w:type="paragraph" w:styleId="CommentSubject">
    <w:name w:val="annotation subject"/>
    <w:basedOn w:val="CommentText"/>
    <w:next w:val="CommentText"/>
    <w:link w:val="CommentSubjectChar"/>
    <w:uiPriority w:val="99"/>
    <w:semiHidden/>
    <w:unhideWhenUsed/>
    <w:rsid w:val="002B61A8"/>
    <w:rPr>
      <w:b/>
      <w:bCs/>
    </w:rPr>
  </w:style>
  <w:style w:type="character" w:customStyle="1" w:styleId="CommentSubjectChar">
    <w:name w:val="Comment Subject Char"/>
    <w:basedOn w:val="CommentTextChar"/>
    <w:link w:val="CommentSubject"/>
    <w:uiPriority w:val="99"/>
    <w:semiHidden/>
    <w:rsid w:val="002B61A8"/>
    <w:rPr>
      <w:rFonts w:ascii="Palatino Linotype" w:eastAsia="SimSun" w:hAnsi="Palatino Linotype" w:cs="Times New Roman"/>
      <w:b/>
      <w:bCs/>
      <w:noProof/>
      <w:color w:val="000000"/>
      <w:sz w:val="20"/>
      <w:szCs w:val="20"/>
      <w:lang w:eastAsia="zh-CN"/>
    </w:rPr>
  </w:style>
  <w:style w:type="paragraph" w:styleId="BalloonText">
    <w:name w:val="Balloon Text"/>
    <w:basedOn w:val="Normal"/>
    <w:link w:val="BalloonTextChar"/>
    <w:uiPriority w:val="99"/>
    <w:semiHidden/>
    <w:unhideWhenUsed/>
    <w:rsid w:val="002B61A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1A8"/>
    <w:rPr>
      <w:rFonts w:ascii="Segoe UI" w:eastAsia="SimSun" w:hAnsi="Segoe UI" w:cs="Segoe UI"/>
      <w:noProof/>
      <w:color w:val="000000"/>
      <w:sz w:val="18"/>
      <w:szCs w:val="18"/>
      <w:lang w:eastAsia="zh-CN"/>
    </w:rPr>
  </w:style>
  <w:style w:type="paragraph" w:styleId="Revision">
    <w:name w:val="Revision"/>
    <w:hidden/>
    <w:uiPriority w:val="99"/>
    <w:semiHidden/>
    <w:rsid w:val="005D0092"/>
    <w:pPr>
      <w:spacing w:after="0" w:line="240" w:lineRule="auto"/>
    </w:pPr>
    <w:rPr>
      <w:rFonts w:ascii="Palatino Linotype" w:eastAsia="SimSun" w:hAnsi="Palatino Linotype" w:cs="Times New Roman"/>
      <w:noProof/>
      <w:color w:val="000000"/>
      <w:sz w:val="20"/>
      <w:szCs w:val="20"/>
      <w:lang w:eastAsia="zh-CN"/>
    </w:rPr>
  </w:style>
  <w:style w:type="character" w:styleId="PlaceholderText">
    <w:name w:val="Placeholder Text"/>
    <w:basedOn w:val="DefaultParagraphFont"/>
    <w:uiPriority w:val="99"/>
    <w:semiHidden/>
    <w:rsid w:val="0063632D"/>
    <w:rPr>
      <w:color w:val="808080"/>
    </w:rPr>
  </w:style>
  <w:style w:type="character" w:customStyle="1" w:styleId="Heading1Char">
    <w:name w:val="Heading 1 Char"/>
    <w:basedOn w:val="DefaultParagraphFont"/>
    <w:link w:val="Heading1"/>
    <w:uiPriority w:val="9"/>
    <w:rsid w:val="0063632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139965">
      <w:bodyDiv w:val="1"/>
      <w:marLeft w:val="0"/>
      <w:marRight w:val="0"/>
      <w:marTop w:val="0"/>
      <w:marBottom w:val="0"/>
      <w:divBdr>
        <w:top w:val="none" w:sz="0" w:space="0" w:color="auto"/>
        <w:left w:val="none" w:sz="0" w:space="0" w:color="auto"/>
        <w:bottom w:val="none" w:sz="0" w:space="0" w:color="auto"/>
        <w:right w:val="none" w:sz="0" w:space="0" w:color="auto"/>
      </w:divBdr>
      <w:divsChild>
        <w:div w:id="1811434967">
          <w:marLeft w:val="480"/>
          <w:marRight w:val="0"/>
          <w:marTop w:val="0"/>
          <w:marBottom w:val="0"/>
          <w:divBdr>
            <w:top w:val="none" w:sz="0" w:space="0" w:color="auto"/>
            <w:left w:val="none" w:sz="0" w:space="0" w:color="auto"/>
            <w:bottom w:val="none" w:sz="0" w:space="0" w:color="auto"/>
            <w:right w:val="none" w:sz="0" w:space="0" w:color="auto"/>
          </w:divBdr>
        </w:div>
        <w:div w:id="1129476117">
          <w:marLeft w:val="480"/>
          <w:marRight w:val="0"/>
          <w:marTop w:val="0"/>
          <w:marBottom w:val="0"/>
          <w:divBdr>
            <w:top w:val="none" w:sz="0" w:space="0" w:color="auto"/>
            <w:left w:val="none" w:sz="0" w:space="0" w:color="auto"/>
            <w:bottom w:val="none" w:sz="0" w:space="0" w:color="auto"/>
            <w:right w:val="none" w:sz="0" w:space="0" w:color="auto"/>
          </w:divBdr>
        </w:div>
        <w:div w:id="1867135052">
          <w:marLeft w:val="480"/>
          <w:marRight w:val="0"/>
          <w:marTop w:val="0"/>
          <w:marBottom w:val="0"/>
          <w:divBdr>
            <w:top w:val="none" w:sz="0" w:space="0" w:color="auto"/>
            <w:left w:val="none" w:sz="0" w:space="0" w:color="auto"/>
            <w:bottom w:val="none" w:sz="0" w:space="0" w:color="auto"/>
            <w:right w:val="none" w:sz="0" w:space="0" w:color="auto"/>
          </w:divBdr>
        </w:div>
      </w:divsChild>
    </w:div>
    <w:div w:id="2096004294">
      <w:bodyDiv w:val="1"/>
      <w:marLeft w:val="0"/>
      <w:marRight w:val="0"/>
      <w:marTop w:val="0"/>
      <w:marBottom w:val="0"/>
      <w:divBdr>
        <w:top w:val="none" w:sz="0" w:space="0" w:color="auto"/>
        <w:left w:val="none" w:sz="0" w:space="0" w:color="auto"/>
        <w:bottom w:val="none" w:sz="0" w:space="0" w:color="auto"/>
        <w:right w:val="none" w:sz="0" w:space="0" w:color="auto"/>
      </w:divBdr>
      <w:divsChild>
        <w:div w:id="1225336948">
          <w:marLeft w:val="480"/>
          <w:marRight w:val="0"/>
          <w:marTop w:val="0"/>
          <w:marBottom w:val="0"/>
          <w:divBdr>
            <w:top w:val="none" w:sz="0" w:space="0" w:color="auto"/>
            <w:left w:val="none" w:sz="0" w:space="0" w:color="auto"/>
            <w:bottom w:val="none" w:sz="0" w:space="0" w:color="auto"/>
            <w:right w:val="none" w:sz="0" w:space="0" w:color="auto"/>
          </w:divBdr>
        </w:div>
        <w:div w:id="1869758744">
          <w:marLeft w:val="480"/>
          <w:marRight w:val="0"/>
          <w:marTop w:val="0"/>
          <w:marBottom w:val="0"/>
          <w:divBdr>
            <w:top w:val="none" w:sz="0" w:space="0" w:color="auto"/>
            <w:left w:val="none" w:sz="0" w:space="0" w:color="auto"/>
            <w:bottom w:val="none" w:sz="0" w:space="0" w:color="auto"/>
            <w:right w:val="none" w:sz="0" w:space="0" w:color="auto"/>
          </w:divBdr>
        </w:div>
        <w:div w:id="1648512929">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410B65D-A48C-4376-8342-D35ED642EE57}"/>
      </w:docPartPr>
      <w:docPartBody>
        <w:p w:rsidR="00BE4D49" w:rsidRDefault="003A6472">
          <w:r w:rsidRPr="009772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472"/>
    <w:rsid w:val="001701AD"/>
    <w:rsid w:val="003A6472"/>
    <w:rsid w:val="006501D6"/>
    <w:rsid w:val="006F2103"/>
    <w:rsid w:val="007F3AD3"/>
    <w:rsid w:val="00950703"/>
    <w:rsid w:val="00965205"/>
    <w:rsid w:val="009E5386"/>
    <w:rsid w:val="00BE4D49"/>
    <w:rsid w:val="00CF4E6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s-Latn-BA" w:eastAsia="bs-Latn-B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4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DFD9FF3-C2B7-4CFB-9651-2F45D6A5499A}">
  <we:reference id="wa104382081" version="1.46.0.0" store="en-US" storeType="OMEX"/>
  <we:alternateReferences>
    <we:reference id="wa104382081" version="1.46.0.0" store="en-US" storeType="OMEX"/>
  </we:alternateReferences>
  <we:properties>
    <we:property name="MENDELEY_CITATIONS" value="[{&quot;citationID&quot;:&quot;MENDELEY_CITATION_0712bf40-55b5-4611-ab33-43f3a75fd591&quot;,&quot;properties&quot;:{&quot;noteIndex&quot;:0},&quot;isEdited&quot;:false,&quot;manualOverride&quot;:{&quot;isManuallyOverridden&quot;:false,&quot;citeprocText&quot;:&quot;(Mujčinović et al., 2021; Puigdueta et al., 2021; White, 2011)&quot;,&quot;manualOverrideText&quot;:&quot;&quot;},&quot;citationTag&quot;:&quot;MENDELEY_CITATION_v3_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&quot;,&quot;citationItems&quot;:[{&quot;id&quot;:&quot;a952f05f-57f7-3e5e-b69b-0aa94a705319&quot;,&quot;itemData&quot;:{&quot;type&quot;:&quot;article-journal&quot;,&quot;id&quot;:&quot;a952f05f-57f7-3e5e-b69b-0aa94a705319&quot;,&quot;title&quot;:&quot;Is it possible to tackle youth needs with agricultural and rural development policies?&quot;,&quot;author&quot;:[{&quot;family&quot;:&quot;Mujčinović&quot;,&quot;given&quot;:&quot;Alen&quot;,&quot;parse-names&quot;:false,&quot;dropping-particle&quot;:&quot;&quot;,&quot;non-dropping-particle&quot;:&quot;&quot;},{&quot;family&quot;:&quot;Nikolić&quot;,&quot;given&quot;:&quot;Aleksandra&quot;,&quot;parse-names&quot;:false,&quot;dropping-particle&quot;:&quot;&quot;,&quot;non-dropping-particle&quot;:&quot;&quot;},{&quot;family&quot;:&quot;Tuna&quot;,&quot;given&quot;:&quot;Emelj&quot;,&quot;parse-names&quot;:false,&quot;dropping-particle&quot;:&quot;&quot;,&quot;non-dropping-particle&quot;:&quot;&quot;},{&quot;family&quot;:&quot;Stamenkovska&quot;,&quot;given&quot;:&quot;Ivana Janeska&quot;,&quot;parse-names&quot;:false,&quot;dropping-particle&quot;:&quot;&quot;,&quot;non-dropping-particle&quot;:&quot;&quot;},{&quot;family&quot;:&quot;Radović&quot;,&quot;given&quot;:&quot;Vesela&quot;,&quot;parse-names&quot;:false,&quot;dropping-particle&quot;:&quot;&quot;,&quot;non-dropping-particle&quot;:&quot;&quot;},{&quot;family&quot;:&quot;Flynn&quot;,&quot;given&quot;:&quot;Paul&quot;,&quot;parse-names&quot;:false,&quot;dropping-particle&quot;:&quot;&quot;,&quot;non-dropping-particle&quot;:&quot;&quot;},{&quot;family&quot;:&quot;McCauley&quot;,&quot;given&quot;:&quot;Veronica&quot;,&quot;parse-names&quot;:false,&quot;dropping-particle&quot;:&quot;&quot;,&quot;non-dropping-particle&quot;:&quot;&quot;}],&quot;container-title&quot;:&quot;Sustainability (Switzerland)&quot;,&quot;DOI&quot;:&quot;10.3390/su13158410&quot;,&quot;ISSN&quot;:&quot;20711050&quot;,&quot;issued&quot;:{&quot;date-parts&quot;:[[2021,8,1]]},&quot;abstract&quot;:&quot;Rural youth are influenced by a wide range of uncertainties regarding their personal and professional development. Rural youth and in particular rural NEETs (Not in Employment, Education or Training) are especially vulnerable and face higher risks of labour market, social and economic exclusion. This paper aims to analyse the determinants of the dynamics of rural NEETs in three post-transitional countries (Bosnia and Herzegovina, North Macedonia and Serbia) compared to the EU-28 average and to Ireland as an example of an established EU member state with over 50% of its population living in rural areas that can act as a benchmark for effective policy implementation to address challenges of marginalized youth, during the 2009–2019 period. The dynamics of rural NEET status and the efficiency/adaptability of regional development policies are revealed through analysis of macro and socioeconomic factors as well as specific employment-related indicators disaggregated by gender and degree of urbanisation. The comparative analysis indicates deficiencies in regional development policies among post-transitional countries and the potential to adapt modern European practices and policies for improving the rural NEETs’ position.&quot;,&quot;publisher&quot;:&quot;MDPI AG&quot;,&quot;issue&quot;:&quot;15&quot;,&quot;volume&quot;:&quot;13&quot;,&quot;container-title-short&quot;:&quot;&quot;},&quot;isTemporary&quot;:false},{&quot;id&quot;:&quot;3be697ce-6b6e-33d6-909a-0eb9c59378f6&quot;,&quot;itemData&quot;:{&quot;type&quot;:&quot;article-journal&quot;,&quot;id&quot;:&quot;3be697ce-6b6e-33d6-909a-0eb9c59378f6&quot;,&quot;title&quot;:&quot;Urban agriculture may change food consumption towards low carbon diets&quot;,&quot;author&quot;:[{&quot;family&quot;:&quot;Puigdueta&quot;,&quot;given&quot;:&quot;Ivanka&quot;,&quot;parse-names&quot;:false,&quot;dropping-particle&quot;:&quot;&quot;,&quot;non-dropping-particle&quot;:&quot;&quot;},{&quot;family&quot;:&quot;Aguilera&quot;,&quot;given&quot;:&quot;Eduardo&quot;,&quot;parse-names&quot;:false,&quot;dropping-particle&quot;:&quot;&quot;,&quot;non-dropping-particle&quot;:&quot;&quot;},{&quot;family&quot;:&quot;Cruz&quot;,&quot;given&quot;:&quot;José Luis&quot;,&quot;parse-names&quot;:false,&quot;dropping-particle&quot;:&quot;&quot;,&quot;non-dropping-particle&quot;:&quot;&quot;},{&quot;family&quot;:&quot;Iglesias&quot;,&quot;given&quot;:&quot;Ana&quot;,&quot;parse-names&quot;:false,&quot;dropping-particle&quot;:&quot;&quot;,&quot;non-dropping-particle&quot;:&quot;&quot;},{&quot;family&quot;:&quot;Sanz-Cobena&quot;,&quot;given&quot;:&quot;Alberto&quot;,&quot;parse-names&quot;:false,&quot;dropping-particle&quot;:&quot;&quot;,&quot;non-dropping-particle&quot;:&quot;&quot;}],&quot;container-title&quot;:&quot;Global Food Security&quot;,&quot;container-title-short&quot;:&quot;Glob Food Sec&quot;,&quot;DOI&quot;:&quot;10.1016/j.gfs.2021.100507&quot;,&quot;ISSN&quot;:&quot;22119124&quot;,&quot;issued&quot;:{&quot;date-parts&quot;:[[2021,3,1]]},&quot;abstract&quot;:&quot;The mitigation of greenhouse gases in the agri-food sector depends on production and consumption patterns. This study focuses on the impact of urban gardening activities on food consumption and the carbon footprint. Changes in the food habits of citizens involved in urban agriculture activities in the city of Madrid were assessed over a five-year period using an online survey. The impact of habit change on the average carbon footprint from food consumption was assessed using a life-cycle approach. The results display a potential reduction of up to 205.1 kg CO2e/year per person (12.1%), which can mainly be achieved with a reduction in animal source foods. The results suggest that urban gardens could be used as social catalysts for pro-environmental behavior and greenhouse gas mitigation in urban areas.&quot;,&quot;publisher&quot;:&quot;Elsevier B.V.&quot;,&quot;volume&quot;:&quot;28&quot;},&quot;isTemporary&quot;:false},{&quot;id&quot;:&quot;1beb8f29-f946-327d-b910-90a48b4fa7a3&quot;,&quot;itemData&quot;:{&quot;type&quot;:&quot;article-journal&quot;,&quot;id&quot;:&quot;1beb8f29-f946-327d-b910-90a48b4fa7a3&quot;,&quot;title&quot;:&quot;Book Review: The SAGE Handbook of Qualitative Research&quot;,&quot;author&quot;:[{&quot;family&quot;:&quot;White&quot;,&quot;given&quot;:&quot;Julie&quot;,&quot;parse-names&quot;:false,&quot;dropping-particle&quot;:&quot;&quot;,&quot;non-dropping-particle&quot;:&quot;&quot;}],&quot;container-title&quot;:&quot;Evaluation Journal of Australasia&quot;,&quot;container-title-short&quot;:&quot;Eval J Australas&quot;,&quot;DOI&quot;:&quot;10.1177/1035719x1101100208&quot;,&quot;ISSN&quot;:&quot;1035-719X&quot;,&quot;issued&quot;:{&quot;date-parts&quot;:[[2011]]},&quot;page&quot;:&quot;52-53&quot;,&quot;abstract&quot;:&quot;Denzin NK, Lincoln YS. Denzin NK, Lincoln YS. Introduction: The Discipline and Practice of Qualitative Research, The SAGE Handbook of Qualitative Research. 20095th edition. Thousand Oaks: SAGE Publications10.&quot;,&quot;issue&quot;:&quot;2&quot;,&quot;volume&quot;:&quot;11&quot;},&quot;isTemporary&quot;:false}]}]"/>
    <we:property name="MENDELEY_CITATIONS_STYLE" value="{&quot;id&quot;:&quot;https://www.zotero.org/styles/apa&quot;,&quot;title&quot;:&quot;American Psychological Association 7th edition&quot;,&quot;format&quot;:&quot;author-date&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5A6CF-89A7-421D-8D56-E2B128A44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 Mujčinović</dc:creator>
  <cp:keywords/>
  <dc:description/>
  <cp:lastModifiedBy>NASTAVNICI1 PPF</cp:lastModifiedBy>
  <cp:revision>3</cp:revision>
  <cp:lastPrinted>2024-02-21T13:08:00Z</cp:lastPrinted>
  <dcterms:created xsi:type="dcterms:W3CDTF">2024-02-21T13:29:00Z</dcterms:created>
  <dcterms:modified xsi:type="dcterms:W3CDTF">2024-02-27T08:09:00Z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d46f227723e5e386dec2be0f1b3d6908db44c9ba52a094d6ab89fa914a96b0fb</vt:lpwstr>
  </property>
</Properties>
</file>